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ACE20" w14:textId="77777777" w:rsidR="008A03A5" w:rsidRDefault="008A03A5" w:rsidP="003330EB">
      <w:pPr>
        <w:spacing w:after="0" w:line="28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E21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279ACE22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ФЕДЕРАЛЬНОЕ ГОСУДАРСТВЕННОЕ БЮДЖЕТНОЕ УЧРЕЖДЕНИЕ НАУКИ</w:t>
      </w:r>
    </w:p>
    <w:p w14:paraId="279ACE23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ЦЕНТР ТЕОРЕТИЧЕСКИХ ПРОБЛЕМ ФИЗИКО-ХИМИЧЕСКОЙ ФАРМАКОЛОГИИ</w:t>
      </w:r>
    </w:p>
    <w:p w14:paraId="279ACE24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РОССИЙСКОЙ АКАДЕМИИ НАУК </w:t>
      </w:r>
    </w:p>
    <w:p w14:paraId="279ACE25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(ЦТП ФХФ РАН)</w:t>
      </w:r>
    </w:p>
    <w:p w14:paraId="279ACE26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96" w:type="dxa"/>
        <w:jc w:val="center"/>
        <w:tblLayout w:type="fixed"/>
        <w:tblLook w:val="0000" w:firstRow="0" w:lastRow="0" w:firstColumn="0" w:lastColumn="0" w:noHBand="0" w:noVBand="0"/>
      </w:tblPr>
      <w:tblGrid>
        <w:gridCol w:w="3922"/>
        <w:gridCol w:w="5674"/>
      </w:tblGrid>
      <w:tr w:rsidR="003330EB" w:rsidRPr="00B924B5" w14:paraId="279ACE2C" w14:textId="77777777" w:rsidTr="00CD149B">
        <w:trPr>
          <w:trHeight w:val="1680"/>
          <w:jc w:val="center"/>
        </w:trPr>
        <w:tc>
          <w:tcPr>
            <w:tcW w:w="9596" w:type="dxa"/>
            <w:gridSpan w:val="2"/>
          </w:tcPr>
          <w:p w14:paraId="279ACE27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79ACE28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УДК 577.3.01 577.38 577.3:51-76</w:t>
            </w:r>
          </w:p>
          <w:p w14:paraId="279ACE29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Рег. № НИОКТР АААА-А19-119111690006-9</w:t>
            </w:r>
          </w:p>
          <w:p w14:paraId="279ACE2A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Рег. № ИКРБС </w:t>
            </w:r>
          </w:p>
          <w:p w14:paraId="279ACE2B" w14:textId="77777777" w:rsidR="003330EB" w:rsidRPr="00B924B5" w:rsidRDefault="003330EB" w:rsidP="003330EB">
            <w:pPr>
              <w:spacing w:after="0" w:line="28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30EB" w:rsidRPr="00B924B5" w14:paraId="279ACE34" w14:textId="77777777" w:rsidTr="00CD149B">
        <w:trPr>
          <w:trHeight w:val="1950"/>
          <w:jc w:val="center"/>
        </w:trPr>
        <w:tc>
          <w:tcPr>
            <w:tcW w:w="3922" w:type="dxa"/>
          </w:tcPr>
          <w:p w14:paraId="279ACE2D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4" w:type="dxa"/>
          </w:tcPr>
          <w:p w14:paraId="279ACE2E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279ACE2F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Директор ЦТП ФХФ РАН</w:t>
            </w:r>
          </w:p>
          <w:p w14:paraId="279ACE30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д-р физ.-мат. наук, член-корр. РАН, проф. РАН</w:t>
            </w:r>
          </w:p>
          <w:p w14:paraId="279ACE31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________________________ </w:t>
            </w: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М.А. Пантелеев</w:t>
            </w:r>
          </w:p>
          <w:p w14:paraId="279ACE32" w14:textId="23B8BE45" w:rsidR="003330EB" w:rsidRPr="00B924B5" w:rsidRDefault="00716D17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  </w:t>
            </w:r>
            <w:r w:rsidR="00DC061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__</w:t>
            </w:r>
            <w:r w:rsidR="003330EB"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 » _</w:t>
            </w:r>
            <w:r w:rsidR="00DC061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_____</w:t>
            </w:r>
            <w:r w:rsidR="003330EB"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 202</w:t>
            </w:r>
            <w:r w:rsidR="00DC06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3330EB"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14:paraId="279ACE33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14:paraId="279ACE35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E36" w14:textId="77777777" w:rsidR="003330EB" w:rsidRPr="00B924B5" w:rsidRDefault="003330EB" w:rsidP="003330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Отчет</w:t>
      </w:r>
    </w:p>
    <w:p w14:paraId="279ACE37" w14:textId="77777777" w:rsidR="003330EB" w:rsidRPr="00B924B5" w:rsidRDefault="003330EB" w:rsidP="003330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о научно-исследовательской работе</w:t>
      </w:r>
    </w:p>
    <w:p w14:paraId="7E70A832" w14:textId="37DFF54B" w:rsidR="00760845" w:rsidRPr="00760845" w:rsidRDefault="00615481" w:rsidP="007608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3330EB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рамках </w:t>
      </w:r>
      <w:r w:rsidR="0076084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Программы </w:t>
      </w:r>
      <w:r w:rsidR="00760845" w:rsidRPr="00760845">
        <w:rPr>
          <w:rFonts w:ascii="Times New Roman" w:eastAsia="Calibri" w:hAnsi="Times New Roman" w:cs="Times New Roman"/>
          <w:sz w:val="24"/>
          <w:szCs w:val="24"/>
          <w:lang w:eastAsia="ru-RU"/>
        </w:rPr>
        <w:t>фундаментальных научных исследований</w:t>
      </w:r>
    </w:p>
    <w:p w14:paraId="279ACE39" w14:textId="42F187A4" w:rsidR="003330EB" w:rsidRPr="00B924B5" w:rsidRDefault="00760845" w:rsidP="007608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0845">
        <w:rPr>
          <w:rFonts w:ascii="Times New Roman" w:eastAsia="Calibri" w:hAnsi="Times New Roman" w:cs="Times New Roman"/>
          <w:sz w:val="24"/>
          <w:szCs w:val="24"/>
          <w:lang w:eastAsia="ru-RU"/>
        </w:rPr>
        <w:t>в Российской Федерации на долгосрочный период (2021 - 2030 годы)</w:t>
      </w:r>
      <w:r w:rsidR="003330EB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279ACE3A" w14:textId="77777777" w:rsidR="003330EB" w:rsidRPr="00B924B5" w:rsidRDefault="003330EB" w:rsidP="003330EB">
      <w:pPr>
        <w:tabs>
          <w:tab w:val="left" w:pos="1785"/>
        </w:tabs>
        <w:spacing w:after="0" w:line="288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 w:bidi="he-IL"/>
        </w:rPr>
      </w:pPr>
    </w:p>
    <w:p w14:paraId="279ACE3B" w14:textId="77777777" w:rsidR="003330EB" w:rsidRPr="00B924B5" w:rsidRDefault="003330EB" w:rsidP="003330EB">
      <w:pPr>
        <w:tabs>
          <w:tab w:val="left" w:pos="1785"/>
        </w:tabs>
        <w:spacing w:after="0" w:line="288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 w:bidi="he-IL"/>
        </w:rPr>
      </w:pPr>
    </w:p>
    <w:p w14:paraId="279ACE3C" w14:textId="77777777" w:rsidR="003330EB" w:rsidRPr="00B924B5" w:rsidRDefault="003330EB" w:rsidP="003330EB">
      <w:pPr>
        <w:tabs>
          <w:tab w:val="left" w:pos="1785"/>
        </w:tabs>
        <w:spacing w:after="0" w:line="288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 w:bidi="he-IL"/>
        </w:rPr>
      </w:pPr>
      <w:r w:rsidRPr="00B924B5">
        <w:rPr>
          <w:rFonts w:ascii="Times New Roman" w:eastAsia="Times New Roman" w:hAnsi="Times New Roman" w:cs="Times New Roman"/>
          <w:caps/>
          <w:sz w:val="24"/>
          <w:szCs w:val="24"/>
          <w:lang w:eastAsia="ru-RU" w:bidi="he-IL"/>
        </w:rPr>
        <w:t>Разработка методов создания новых лекарственных форм и биореакторов на базе эритроцитов</w:t>
      </w:r>
    </w:p>
    <w:p w14:paraId="279ACE3D" w14:textId="77777777" w:rsidR="003330EB" w:rsidRPr="00B924B5" w:rsidRDefault="003330EB" w:rsidP="003330EB">
      <w:pPr>
        <w:tabs>
          <w:tab w:val="left" w:pos="1785"/>
        </w:tabs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(заключительный)</w:t>
      </w:r>
    </w:p>
    <w:p w14:paraId="279ACE3E" w14:textId="77777777" w:rsidR="003330EB" w:rsidRPr="00B924B5" w:rsidRDefault="003330EB" w:rsidP="003330EB">
      <w:pPr>
        <w:tabs>
          <w:tab w:val="left" w:pos="1785"/>
        </w:tabs>
        <w:spacing w:after="0" w:line="288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 w:bidi="he-IL"/>
        </w:rPr>
      </w:pPr>
    </w:p>
    <w:p w14:paraId="279ACE3F" w14:textId="77777777" w:rsidR="003330EB" w:rsidRPr="00B924B5" w:rsidRDefault="003330EB" w:rsidP="003330EB">
      <w:pPr>
        <w:tabs>
          <w:tab w:val="left" w:pos="1785"/>
        </w:tabs>
        <w:spacing w:after="0" w:line="288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 w:bidi="he-IL"/>
        </w:rPr>
      </w:pPr>
    </w:p>
    <w:p w14:paraId="279ACE40" w14:textId="77777777" w:rsidR="003330EB" w:rsidRPr="00B924B5" w:rsidRDefault="003330EB" w:rsidP="003330EB">
      <w:pPr>
        <w:tabs>
          <w:tab w:val="left" w:pos="1785"/>
        </w:tabs>
        <w:spacing w:after="0" w:line="288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 w:bidi="he-IL"/>
        </w:rPr>
      </w:pPr>
    </w:p>
    <w:p w14:paraId="279ACE41" w14:textId="77777777" w:rsidR="003330EB" w:rsidRPr="00B924B5" w:rsidRDefault="003330EB" w:rsidP="003330EB">
      <w:pPr>
        <w:tabs>
          <w:tab w:val="left" w:pos="178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tbl>
      <w:tblPr>
        <w:tblW w:w="9705" w:type="dxa"/>
        <w:tblLook w:val="04A0" w:firstRow="1" w:lastRow="0" w:firstColumn="1" w:lastColumn="0" w:noHBand="0" w:noVBand="1"/>
      </w:tblPr>
      <w:tblGrid>
        <w:gridCol w:w="4644"/>
        <w:gridCol w:w="2835"/>
        <w:gridCol w:w="2226"/>
      </w:tblGrid>
      <w:tr w:rsidR="003330EB" w:rsidRPr="00B924B5" w14:paraId="279ACE50" w14:textId="77777777" w:rsidTr="00CD149B">
        <w:tc>
          <w:tcPr>
            <w:tcW w:w="4644" w:type="dxa"/>
            <w:shd w:val="clear" w:color="auto" w:fill="auto"/>
          </w:tcPr>
          <w:p w14:paraId="279ACE42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НИР,</w:t>
            </w:r>
          </w:p>
          <w:p w14:paraId="279ACE43" w14:textId="77777777" w:rsidR="003330EB" w:rsidRPr="00B924B5" w:rsidRDefault="003330EB" w:rsidP="003330E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Заведующая лабораторией физиологии и биофизики клетки</w:t>
            </w:r>
          </w:p>
          <w:p w14:paraId="279ACE44" w14:textId="77777777" w:rsidR="003330EB" w:rsidRPr="00B924B5" w:rsidRDefault="003330EB" w:rsidP="003330EB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д-р. биол. наук</w:t>
            </w:r>
          </w:p>
          <w:p w14:paraId="279ACE45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he-IL"/>
              </w:rPr>
            </w:pPr>
          </w:p>
        </w:tc>
        <w:tc>
          <w:tcPr>
            <w:tcW w:w="2835" w:type="dxa"/>
            <w:shd w:val="clear" w:color="auto" w:fill="auto"/>
          </w:tcPr>
          <w:p w14:paraId="279ACE46" w14:textId="77777777" w:rsidR="003330EB" w:rsidRPr="00B924B5" w:rsidRDefault="003330EB" w:rsidP="003330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  <w:p w14:paraId="279ACE47" w14:textId="77777777" w:rsidR="003330EB" w:rsidRPr="00B924B5" w:rsidRDefault="003330EB" w:rsidP="003330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  <w:p w14:paraId="279ACE48" w14:textId="77777777" w:rsidR="003330EB" w:rsidRPr="00B924B5" w:rsidRDefault="003330EB" w:rsidP="003330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  <w:p w14:paraId="279ACE49" w14:textId="77777777" w:rsidR="003330EB" w:rsidRPr="00B924B5" w:rsidRDefault="003330EB" w:rsidP="003330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4A" w14:textId="77777777" w:rsidR="003330EB" w:rsidRPr="00B924B5" w:rsidRDefault="003330EB" w:rsidP="003330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подпись, дата</w:t>
            </w:r>
          </w:p>
        </w:tc>
        <w:tc>
          <w:tcPr>
            <w:tcW w:w="2226" w:type="dxa"/>
            <w:shd w:val="clear" w:color="auto" w:fill="auto"/>
          </w:tcPr>
          <w:p w14:paraId="279ACE4B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  <w:p w14:paraId="279ACE4C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  <w:p w14:paraId="279ACE4D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  <w:p w14:paraId="279ACE4E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Е.</w:t>
            </w:r>
            <w:r w:rsidR="00297A43"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Синауридзе</w:t>
            </w:r>
            <w:proofErr w:type="spellEnd"/>
          </w:p>
          <w:p w14:paraId="279ACE4F" w14:textId="77777777" w:rsidR="003330EB" w:rsidRPr="00B924B5" w:rsidRDefault="003330EB" w:rsidP="003330E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</w:tc>
      </w:tr>
    </w:tbl>
    <w:p w14:paraId="279ACE51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79ACE52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79ACE53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79ACE54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79ACE55" w14:textId="77777777" w:rsidR="003330EB" w:rsidRPr="00B924B5" w:rsidRDefault="003330EB" w:rsidP="003330E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79ACE56" w14:textId="310945B9" w:rsidR="00CD513F" w:rsidRPr="00B924B5" w:rsidRDefault="003330EB" w:rsidP="003330E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Москва 202</w:t>
      </w:r>
      <w:r w:rsidR="00AA3C0E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1</w:t>
      </w:r>
    </w:p>
    <w:p w14:paraId="279ACE57" w14:textId="77777777" w:rsidR="00CD149B" w:rsidRPr="00B924B5" w:rsidRDefault="00CD513F" w:rsidP="00CD149B">
      <w:pPr>
        <w:spacing w:after="0" w:line="360" w:lineRule="auto"/>
        <w:ind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br w:type="page"/>
      </w:r>
      <w:bookmarkStart w:id="0" w:name="_Toc455367336"/>
      <w:bookmarkStart w:id="1" w:name="_Toc492111976"/>
      <w:bookmarkStart w:id="2" w:name="_Toc492482181"/>
      <w:bookmarkStart w:id="3" w:name="_Toc492561947"/>
      <w:bookmarkStart w:id="4" w:name="_Toc493948940"/>
      <w:bookmarkStart w:id="5" w:name="_Toc493949589"/>
      <w:bookmarkStart w:id="6" w:name="_Toc494359930"/>
      <w:bookmarkStart w:id="7" w:name="_Toc494794309"/>
      <w:bookmarkStart w:id="8" w:name="_Toc494794506"/>
      <w:bookmarkStart w:id="9" w:name="_Toc494836490"/>
      <w:bookmarkStart w:id="10" w:name="_Toc499721968"/>
      <w:r w:rsidR="00CD149B" w:rsidRPr="00B924B5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lastRenderedPageBreak/>
        <w:t>СПИСОК ИСПОЛНИТЕЛЕЙ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279ACE58" w14:textId="77777777" w:rsidR="00CD149B" w:rsidRPr="00B924B5" w:rsidRDefault="00CD149B" w:rsidP="00CD149B">
      <w:pPr>
        <w:spacing w:after="0" w:line="36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3941"/>
        <w:gridCol w:w="2376"/>
        <w:gridCol w:w="3181"/>
      </w:tblGrid>
      <w:tr w:rsidR="00CD149B" w:rsidRPr="00B924B5" w14:paraId="279ACE62" w14:textId="77777777" w:rsidTr="00CD149B">
        <w:tc>
          <w:tcPr>
            <w:tcW w:w="4077" w:type="dxa"/>
            <w:shd w:val="clear" w:color="auto" w:fill="auto"/>
          </w:tcPr>
          <w:p w14:paraId="279ACE59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Руководитель НИР, </w:t>
            </w:r>
          </w:p>
          <w:p w14:paraId="279ACE5A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Заведующая лабораторией физиологии и биофизики клетки</w:t>
            </w:r>
          </w:p>
          <w:p w14:paraId="279ACE5B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д-р. биол. наук</w:t>
            </w:r>
          </w:p>
        </w:tc>
        <w:tc>
          <w:tcPr>
            <w:tcW w:w="2160" w:type="dxa"/>
            <w:shd w:val="clear" w:color="auto" w:fill="auto"/>
          </w:tcPr>
          <w:p w14:paraId="279ACE5C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5D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5E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Е.И.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Синауридзе</w:t>
            </w:r>
            <w:proofErr w:type="spellEnd"/>
          </w:p>
          <w:p w14:paraId="279ACE5F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(введение, заключение, </w:t>
            </w:r>
          </w:p>
          <w:p w14:paraId="279ACE60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раздел 1,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нормоконтроль</w:t>
            </w:r>
            <w:proofErr w:type="spellEnd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, </w:t>
            </w:r>
          </w:p>
          <w:p w14:paraId="279ACE61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2019-2021 г.)</w:t>
            </w:r>
          </w:p>
        </w:tc>
      </w:tr>
      <w:tr w:rsidR="00CD149B" w:rsidRPr="00B924B5" w14:paraId="279ACE67" w14:textId="77777777" w:rsidTr="00CD149B">
        <w:tc>
          <w:tcPr>
            <w:tcW w:w="4077" w:type="dxa"/>
            <w:shd w:val="clear" w:color="auto" w:fill="auto"/>
          </w:tcPr>
          <w:p w14:paraId="279ACE63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  <w:p w14:paraId="279ACE64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Исполнители:</w:t>
            </w:r>
          </w:p>
        </w:tc>
        <w:tc>
          <w:tcPr>
            <w:tcW w:w="2160" w:type="dxa"/>
            <w:shd w:val="clear" w:color="auto" w:fill="auto"/>
          </w:tcPr>
          <w:p w14:paraId="279ACE65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</w:tc>
        <w:tc>
          <w:tcPr>
            <w:tcW w:w="3261" w:type="dxa"/>
            <w:shd w:val="clear" w:color="auto" w:fill="auto"/>
          </w:tcPr>
          <w:p w14:paraId="279ACE66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</w:tc>
      </w:tr>
      <w:tr w:rsidR="00CD149B" w:rsidRPr="00B924B5" w14:paraId="279ACE6D" w14:textId="77777777" w:rsidTr="00CD149B">
        <w:tc>
          <w:tcPr>
            <w:tcW w:w="4077" w:type="dxa"/>
            <w:shd w:val="clear" w:color="auto" w:fill="auto"/>
          </w:tcPr>
          <w:p w14:paraId="279ACE68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Научный руководитель ЦТП ФХФ РАН, гл. науч. сотр., д-</w:t>
            </w:r>
            <w:proofErr w:type="spellStart"/>
            <w:proofErr w:type="gram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р.биол</w:t>
            </w:r>
            <w:proofErr w:type="gramEnd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.наук</w:t>
            </w:r>
            <w:proofErr w:type="spellEnd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, член-корр. РАН</w:t>
            </w:r>
          </w:p>
        </w:tc>
        <w:tc>
          <w:tcPr>
            <w:tcW w:w="2160" w:type="dxa"/>
            <w:shd w:val="clear" w:color="auto" w:fill="auto"/>
          </w:tcPr>
          <w:p w14:paraId="279ACE69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6A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6B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Ф. И.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Атауллаханов</w:t>
            </w:r>
            <w:proofErr w:type="spellEnd"/>
          </w:p>
          <w:p w14:paraId="279ACE6C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(раздел 1, 2019-2021 г.)</w:t>
            </w:r>
          </w:p>
        </w:tc>
      </w:tr>
      <w:tr w:rsidR="00CD149B" w:rsidRPr="00B924B5" w14:paraId="279ACE73" w14:textId="77777777" w:rsidTr="00CD149B">
        <w:tc>
          <w:tcPr>
            <w:tcW w:w="4077" w:type="dxa"/>
            <w:shd w:val="clear" w:color="auto" w:fill="auto"/>
          </w:tcPr>
          <w:p w14:paraId="279ACE6E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Стажер-исследователь </w:t>
            </w:r>
          </w:p>
        </w:tc>
        <w:tc>
          <w:tcPr>
            <w:tcW w:w="2160" w:type="dxa"/>
            <w:shd w:val="clear" w:color="auto" w:fill="auto"/>
          </w:tcPr>
          <w:p w14:paraId="279ACE6F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70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71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Е.А.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Бовт</w:t>
            </w:r>
            <w:proofErr w:type="spellEnd"/>
          </w:p>
          <w:p w14:paraId="279ACE72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(раздел 1, 2019-2021 г.)</w:t>
            </w:r>
          </w:p>
        </w:tc>
      </w:tr>
      <w:tr w:rsidR="00CD149B" w:rsidRPr="00B924B5" w14:paraId="279ACE77" w14:textId="77777777" w:rsidTr="00CD149B">
        <w:tc>
          <w:tcPr>
            <w:tcW w:w="4077" w:type="dxa"/>
            <w:shd w:val="clear" w:color="auto" w:fill="auto"/>
          </w:tcPr>
          <w:p w14:paraId="279ACE74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</w:tc>
        <w:tc>
          <w:tcPr>
            <w:tcW w:w="2160" w:type="dxa"/>
            <w:shd w:val="clear" w:color="auto" w:fill="auto"/>
          </w:tcPr>
          <w:p w14:paraId="279ACE75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</w:tc>
        <w:tc>
          <w:tcPr>
            <w:tcW w:w="3261" w:type="dxa"/>
            <w:shd w:val="clear" w:color="auto" w:fill="auto"/>
          </w:tcPr>
          <w:p w14:paraId="279ACE76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</w:p>
        </w:tc>
      </w:tr>
      <w:tr w:rsidR="00CD149B" w:rsidRPr="00B924B5" w14:paraId="279ACE7D" w14:textId="77777777" w:rsidTr="00CD149B">
        <w:tc>
          <w:tcPr>
            <w:tcW w:w="4077" w:type="dxa"/>
            <w:shd w:val="clear" w:color="auto" w:fill="auto"/>
          </w:tcPr>
          <w:p w14:paraId="279ACE78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Ст. науч. сотр.,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докт</w:t>
            </w:r>
            <w:proofErr w:type="spellEnd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. биол. наук</w:t>
            </w:r>
          </w:p>
        </w:tc>
        <w:tc>
          <w:tcPr>
            <w:tcW w:w="2160" w:type="dxa"/>
            <w:shd w:val="clear" w:color="auto" w:fill="auto"/>
          </w:tcPr>
          <w:p w14:paraId="279ACE79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7A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7B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В.М.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Витвицкий</w:t>
            </w:r>
            <w:proofErr w:type="spellEnd"/>
          </w:p>
          <w:p w14:paraId="279ACE7C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(раздел 1, 2019-2021 г.)</w:t>
            </w:r>
          </w:p>
        </w:tc>
      </w:tr>
      <w:tr w:rsidR="00CD149B" w:rsidRPr="00B924B5" w14:paraId="279ACE83" w14:textId="77777777" w:rsidTr="00CD149B">
        <w:tc>
          <w:tcPr>
            <w:tcW w:w="4077" w:type="dxa"/>
            <w:shd w:val="clear" w:color="auto" w:fill="auto"/>
          </w:tcPr>
          <w:p w14:paraId="279ACE7E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Стажер-исследователь</w:t>
            </w:r>
          </w:p>
        </w:tc>
        <w:tc>
          <w:tcPr>
            <w:tcW w:w="2160" w:type="dxa"/>
            <w:shd w:val="clear" w:color="auto" w:fill="auto"/>
          </w:tcPr>
          <w:p w14:paraId="279ACE7F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80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81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Л..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Колева</w:t>
            </w:r>
            <w:proofErr w:type="spellEnd"/>
          </w:p>
          <w:p w14:paraId="279ACE82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(раздел 1, 2019-2021 г.)</w:t>
            </w:r>
          </w:p>
        </w:tc>
      </w:tr>
      <w:tr w:rsidR="00CD149B" w:rsidRPr="00B924B5" w14:paraId="279ACE89" w14:textId="77777777" w:rsidTr="00CD149B">
        <w:tc>
          <w:tcPr>
            <w:tcW w:w="4077" w:type="dxa"/>
            <w:shd w:val="clear" w:color="auto" w:fill="auto"/>
          </w:tcPr>
          <w:p w14:paraId="279ACE84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Стажер-исследователь</w:t>
            </w:r>
          </w:p>
        </w:tc>
        <w:tc>
          <w:tcPr>
            <w:tcW w:w="2160" w:type="dxa"/>
            <w:shd w:val="clear" w:color="auto" w:fill="auto"/>
          </w:tcPr>
          <w:p w14:paraId="279ACE85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86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87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Е.С. Протасов</w:t>
            </w:r>
          </w:p>
          <w:p w14:paraId="279ACE88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(раздел 1, 2019-2021 г.)</w:t>
            </w:r>
          </w:p>
        </w:tc>
      </w:tr>
      <w:tr w:rsidR="00CD149B" w:rsidRPr="00B924B5" w14:paraId="279ACE8F" w14:textId="77777777" w:rsidTr="00CD149B">
        <w:tc>
          <w:tcPr>
            <w:tcW w:w="4077" w:type="dxa"/>
            <w:shd w:val="clear" w:color="auto" w:fill="auto"/>
          </w:tcPr>
          <w:p w14:paraId="279ACE8A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Мл.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научн</w:t>
            </w:r>
            <w:proofErr w:type="spellEnd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. сотр.</w:t>
            </w:r>
          </w:p>
        </w:tc>
        <w:tc>
          <w:tcPr>
            <w:tcW w:w="2160" w:type="dxa"/>
            <w:shd w:val="clear" w:color="auto" w:fill="auto"/>
          </w:tcPr>
          <w:p w14:paraId="279ACE8B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8C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8D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Д.С.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Прудинник</w:t>
            </w:r>
            <w:proofErr w:type="spellEnd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 </w:t>
            </w:r>
          </w:p>
          <w:p w14:paraId="279ACE8E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(раздел 1, 2020-2021 г.)</w:t>
            </w:r>
          </w:p>
        </w:tc>
      </w:tr>
      <w:tr w:rsidR="00CD149B" w:rsidRPr="00B924B5" w14:paraId="279ACE95" w14:textId="77777777" w:rsidTr="00CD149B">
        <w:tc>
          <w:tcPr>
            <w:tcW w:w="4077" w:type="dxa"/>
            <w:shd w:val="clear" w:color="auto" w:fill="auto"/>
          </w:tcPr>
          <w:p w14:paraId="279ACE90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Стажер-исследователь</w:t>
            </w:r>
          </w:p>
        </w:tc>
        <w:tc>
          <w:tcPr>
            <w:tcW w:w="2160" w:type="dxa"/>
            <w:shd w:val="clear" w:color="auto" w:fill="auto"/>
          </w:tcPr>
          <w:p w14:paraId="279ACE91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92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93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А.Е. Филиппова</w:t>
            </w:r>
          </w:p>
          <w:p w14:paraId="279ACE94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(раздел 1, 2019-2021 г.)</w:t>
            </w:r>
          </w:p>
        </w:tc>
      </w:tr>
      <w:tr w:rsidR="00CD149B" w:rsidRPr="00B924B5" w14:paraId="279ACE9B" w14:textId="77777777" w:rsidTr="00CD149B">
        <w:tc>
          <w:tcPr>
            <w:tcW w:w="4077" w:type="dxa"/>
            <w:shd w:val="clear" w:color="auto" w:fill="auto"/>
          </w:tcPr>
          <w:p w14:paraId="279ACE96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Науч. сотр.</w:t>
            </w:r>
          </w:p>
        </w:tc>
        <w:tc>
          <w:tcPr>
            <w:tcW w:w="2160" w:type="dxa"/>
            <w:shd w:val="clear" w:color="auto" w:fill="auto"/>
          </w:tcPr>
          <w:p w14:paraId="279ACE97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__________________</w:t>
            </w:r>
          </w:p>
          <w:p w14:paraId="279ACE98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подпись, дата</w:t>
            </w:r>
          </w:p>
        </w:tc>
        <w:tc>
          <w:tcPr>
            <w:tcW w:w="3261" w:type="dxa"/>
            <w:shd w:val="clear" w:color="auto" w:fill="auto"/>
          </w:tcPr>
          <w:p w14:paraId="279ACE99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С.С.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Шахиджанов</w:t>
            </w:r>
            <w:proofErr w:type="spellEnd"/>
          </w:p>
          <w:p w14:paraId="279ACE9A" w14:textId="77777777" w:rsidR="00CD149B" w:rsidRPr="00B924B5" w:rsidRDefault="00CD149B" w:rsidP="00CD149B">
            <w:pPr>
              <w:spacing w:after="0" w:line="36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(раздел 1, 2019-2021 г.).</w:t>
            </w:r>
          </w:p>
        </w:tc>
      </w:tr>
    </w:tbl>
    <w:p w14:paraId="279ACE9C" w14:textId="77777777" w:rsidR="00CD149B" w:rsidRPr="00B924B5" w:rsidRDefault="00CD149B" w:rsidP="00CD149B">
      <w:pPr>
        <w:spacing w:after="0" w:line="36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79ACE9D" w14:textId="77777777" w:rsidR="00CD149B" w:rsidRPr="00B924B5" w:rsidRDefault="00CD149B" w:rsidP="00CD149B">
      <w:pPr>
        <w:spacing w:after="0" w:line="36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14:paraId="279ACE9E" w14:textId="77777777" w:rsidR="00CD149B" w:rsidRPr="00B924B5" w:rsidRDefault="00CD149B" w:rsidP="00CD149B">
      <w:pPr>
        <w:spacing w:after="0" w:line="36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br w:type="page"/>
      </w:r>
    </w:p>
    <w:p w14:paraId="279ACE9F" w14:textId="77777777" w:rsidR="00CD149B" w:rsidRPr="00B924B5" w:rsidRDefault="00CD149B" w:rsidP="00925BB9">
      <w:pPr>
        <w:spacing w:after="0" w:line="360" w:lineRule="auto"/>
        <w:ind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4B5">
        <w:rPr>
          <w:rFonts w:ascii="Times New Roman" w:hAnsi="Times New Roman" w:cs="Times New Roman"/>
          <w:b/>
          <w:sz w:val="24"/>
          <w:szCs w:val="24"/>
        </w:rPr>
        <w:lastRenderedPageBreak/>
        <w:t>РЕФЕРАТ</w:t>
      </w:r>
    </w:p>
    <w:p w14:paraId="279ACEA0" w14:textId="77777777" w:rsidR="00CD149B" w:rsidRPr="00B924B5" w:rsidRDefault="00CD149B" w:rsidP="00CD149B">
      <w:pPr>
        <w:spacing w:after="0" w:line="36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279ACEA1" w14:textId="1D6313A3" w:rsidR="00CD149B" w:rsidRPr="00B924B5" w:rsidRDefault="00CD149B" w:rsidP="00925BB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Отчет </w:t>
      </w:r>
      <w:r w:rsidR="000E5FD2" w:rsidRPr="000E5FD2">
        <w:rPr>
          <w:rFonts w:ascii="Times New Roman" w:hAnsi="Times New Roman" w:cs="Times New Roman"/>
          <w:sz w:val="24"/>
          <w:szCs w:val="24"/>
        </w:rPr>
        <w:t>70</w:t>
      </w:r>
      <w:r w:rsidR="009E2BAD"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</w:rPr>
        <w:t xml:space="preserve">стр., </w:t>
      </w:r>
      <w:r w:rsidR="007B1A2C" w:rsidRPr="00B924B5">
        <w:rPr>
          <w:rFonts w:ascii="Times New Roman" w:hAnsi="Times New Roman" w:cs="Times New Roman"/>
          <w:sz w:val="24"/>
          <w:szCs w:val="24"/>
        </w:rPr>
        <w:t>29</w:t>
      </w:r>
      <w:r w:rsidRPr="00B924B5">
        <w:rPr>
          <w:rFonts w:ascii="Times New Roman" w:hAnsi="Times New Roman" w:cs="Times New Roman"/>
          <w:sz w:val="24"/>
          <w:szCs w:val="24"/>
        </w:rPr>
        <w:t xml:space="preserve"> рис., </w:t>
      </w:r>
      <w:r w:rsidR="00297A43" w:rsidRPr="00B924B5">
        <w:rPr>
          <w:rFonts w:ascii="Times New Roman" w:hAnsi="Times New Roman" w:cs="Times New Roman"/>
          <w:sz w:val="24"/>
          <w:szCs w:val="24"/>
        </w:rPr>
        <w:t>2</w:t>
      </w:r>
      <w:r w:rsidRPr="00B924B5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297A43" w:rsidRPr="00B924B5">
        <w:rPr>
          <w:rFonts w:ascii="Times New Roman" w:hAnsi="Times New Roman" w:cs="Times New Roman"/>
          <w:sz w:val="24"/>
          <w:szCs w:val="24"/>
        </w:rPr>
        <w:t>ы</w:t>
      </w:r>
      <w:r w:rsidRPr="00B924B5">
        <w:rPr>
          <w:rFonts w:ascii="Times New Roman" w:hAnsi="Times New Roman" w:cs="Times New Roman"/>
          <w:sz w:val="24"/>
          <w:szCs w:val="24"/>
        </w:rPr>
        <w:t xml:space="preserve">, </w:t>
      </w:r>
      <w:r w:rsidR="00297A43" w:rsidRPr="00B924B5">
        <w:rPr>
          <w:rFonts w:ascii="Times New Roman" w:hAnsi="Times New Roman" w:cs="Times New Roman"/>
          <w:sz w:val="24"/>
          <w:szCs w:val="24"/>
        </w:rPr>
        <w:t>27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источников</w:t>
      </w:r>
      <w:r w:rsidR="00951610">
        <w:rPr>
          <w:rFonts w:ascii="Times New Roman" w:hAnsi="Times New Roman" w:cs="Times New Roman"/>
          <w:sz w:val="24"/>
          <w:szCs w:val="24"/>
        </w:rPr>
        <w:t xml:space="preserve">, </w:t>
      </w:r>
      <w:r w:rsidR="00951610" w:rsidRPr="002148AB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951610" w:rsidRPr="002148AB">
        <w:rPr>
          <w:rFonts w:ascii="Times New Roman" w:hAnsi="Times New Roman" w:cs="Times New Roman"/>
          <w:sz w:val="24"/>
          <w:szCs w:val="24"/>
        </w:rPr>
        <w:t>прил</w:t>
      </w:r>
      <w:proofErr w:type="spellEnd"/>
    </w:p>
    <w:p w14:paraId="279ACEA2" w14:textId="77777777" w:rsidR="00297A43" w:rsidRPr="00B924B5" w:rsidRDefault="00CD149B" w:rsidP="00925BB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ЭРИТРОЦИТ, ЭРИТРОЦИТ-БИОРЕАКТОР, </w:t>
      </w:r>
      <w:r w:rsidR="00297A43" w:rsidRPr="00B924B5">
        <w:rPr>
          <w:rFonts w:ascii="Times New Roman" w:hAnsi="Times New Roman" w:cs="Times New Roman"/>
          <w:sz w:val="24"/>
          <w:szCs w:val="24"/>
        </w:rPr>
        <w:t xml:space="preserve">ГИПООСМОТИЧЕСКИЙ </w:t>
      </w:r>
      <w:r w:rsidR="007B1A2C" w:rsidRPr="00B924B5">
        <w:rPr>
          <w:rFonts w:ascii="Times New Roman" w:hAnsi="Times New Roman" w:cs="Times New Roman"/>
          <w:sz w:val="24"/>
          <w:szCs w:val="24"/>
        </w:rPr>
        <w:t xml:space="preserve">ПРОТОЧНЫЙ </w:t>
      </w:r>
      <w:r w:rsidR="00297A43" w:rsidRPr="00B924B5">
        <w:rPr>
          <w:rFonts w:ascii="Times New Roman" w:hAnsi="Times New Roman" w:cs="Times New Roman"/>
          <w:sz w:val="24"/>
          <w:szCs w:val="24"/>
        </w:rPr>
        <w:t xml:space="preserve">ДИАЛИЗ, </w:t>
      </w:r>
      <w:r w:rsidRPr="00B924B5">
        <w:rPr>
          <w:rFonts w:ascii="Times New Roman" w:hAnsi="Times New Roman" w:cs="Times New Roman"/>
          <w:sz w:val="24"/>
          <w:szCs w:val="24"/>
        </w:rPr>
        <w:t xml:space="preserve">МАТЕМАТИЧЕСКОЕ МОДЕЛИРОВАНИЕ, АЛКОГОЛЬДЕГИДРОГЕНАЗА, АЦЕТАЛЬДЕГИДДЕГИДРОГЕНАЗА, АММОНИЙ, ГЛУТАМАТДЕГИДРОГЕНАЗА ИЗ ПЕЧЕНИ БЫКА, ГЛУТАМАТДЕГИДРОГЕНАЗА 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r w:rsidRPr="00B924B5">
        <w:rPr>
          <w:rFonts w:ascii="Times New Roman" w:hAnsi="Times New Roman" w:cs="Times New Roman"/>
          <w:sz w:val="24"/>
          <w:szCs w:val="24"/>
        </w:rPr>
        <w:t xml:space="preserve">., АЛАНИНАМИНОТРАНСФЕРАЗА,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24B5">
        <w:rPr>
          <w:rFonts w:ascii="Times New Roman" w:hAnsi="Times New Roman" w:cs="Times New Roman"/>
          <w:sz w:val="24"/>
          <w:szCs w:val="24"/>
        </w:rPr>
        <w:t xml:space="preserve">-АСПАРАГИНАЗА </w:t>
      </w:r>
    </w:p>
    <w:p w14:paraId="279ACEA3" w14:textId="77777777" w:rsidR="00CD149B" w:rsidRPr="00B924B5" w:rsidRDefault="00CD149B" w:rsidP="00925BB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Объект исследования - разработка новых лекарственных форм на базе эритроцитов. </w:t>
      </w:r>
    </w:p>
    <w:p w14:paraId="279ACEA4" w14:textId="77777777" w:rsidR="00CD149B" w:rsidRPr="00B924B5" w:rsidRDefault="00CD149B" w:rsidP="00925BB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>Цели работы: 1. Разработка математических моделей эритроцитов-биореакторов (ЭБР). 2. Анализ с помощью этих моделей работы ЭБР, убирающих из крови этанол или аммоний. 3. Разработка метода эффективного включения лекарственных веществ в эритроциты и создание автоматизированного устройства для проведения такого включения. 4. Повышение эффективности работы ЭБР, убирающих из крови аммоний (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). 5. Создание стерильного препарата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24B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аспарагиназы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эритроцитах для применения в клинике и начало его ограниченных клинических испытаний. </w:t>
      </w:r>
    </w:p>
    <w:p w14:paraId="279ACEA5" w14:textId="77777777" w:rsidR="00CD149B" w:rsidRPr="00B924B5" w:rsidRDefault="00CD149B" w:rsidP="00925BB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Математические модели ЭБР включали обыкновенные дифференциальные уравнения, описывающие протекание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эритроцитарного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гликолиза и встроенных реакций. Для выбора оптимального метода включения ферментов в эритроциты были сравнены методы обратимого гипоосмотического воздействия на клетку (лизис, диализ в мешках и проточный диализ). Свойства полученных ЭБР исследовали по таким показателям как стандартные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эритроцитарные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индексы, осмотическая хрупкость,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фильтруемость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скорость гемолиза клеток и сохранение активности ферментов внутри клеток при хранении суспензии ЭБР при +4 </w:t>
      </w:r>
      <w:r w:rsidRPr="00B924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С.</w:t>
      </w:r>
    </w:p>
    <w:p w14:paraId="279ACEA6" w14:textId="77777777" w:rsidR="00CD149B" w:rsidRPr="00B924B5" w:rsidRDefault="00CD149B" w:rsidP="00925BB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В результате работы были впервые созданы математические модели работы различных ЭБР; проведен теоретический анализ этих моделей и определены факторы, влияющие на эффективность работы ЭБР (скорость транспорта субстратов и/или продуктов реакций в клетки и/или влияние встроенных реакций на собственный метаболизм эритроцитов); предложена новая ферментная система включающая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глутаматдегидрогеназу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(ГДГ) и аланинаминотрансферазу (АЛТ) для создания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работа которой не зависит от скорости транспорта необходимых субстратов в клетку; предложены новые подходы, позволившие повысить активность включенной в эритроциты ГДГ (использование метода проточного гипоосмотического диализа и замена стандартно применяемой ГДГ из печени быка на бактериальную ГДГ 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.), что впервые </w:t>
      </w:r>
      <w:r w:rsidRPr="00B924B5">
        <w:rPr>
          <w:rFonts w:ascii="Times New Roman" w:hAnsi="Times New Roman" w:cs="Times New Roman"/>
          <w:sz w:val="24"/>
          <w:szCs w:val="24"/>
        </w:rPr>
        <w:lastRenderedPageBreak/>
        <w:t xml:space="preserve">позволяет надеяться на возможность применения таких ЭБР в клинике; разработана новая автоматическая установка для включения лекарственных соединений в эритроциты в стерильных условиях; с помощью данной установки получен стерильный препарат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24B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аспарагиназы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эритроцитах для применения в клинике; начаты его ограниченные клинические испытания у пациентов с острым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лимфобластным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лейкозом, показавшие безопасность препарата и увеличение срока жизни включенного в эритроциты фермента в кровотоке. </w:t>
      </w:r>
    </w:p>
    <w:p w14:paraId="279ACEA7" w14:textId="77777777" w:rsidR="00CD149B" w:rsidRPr="00B924B5" w:rsidRDefault="00CD149B" w:rsidP="00925BB9">
      <w:p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Все задачи проекта полностью выполнены. Разработка математических моделей ЭБР является приоритетом российской науки и не имеет аналогов в мире. На основании анализа этих моделей удалось впервые предложить перспективную для создания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ферментную систему, эффективность работы которой далее была повышена за счет использования ГДГ из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 Таким образом впервые были получены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имеющие перспективу клинического применения. Аналогов таких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в мире не существует. Препарат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24B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аспарагиназы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эритроцитах, пригодный для клинического использования, также получен в России впервые. Разработанная автоматическая установка для включения лекарств в эритроциты является уникальной. Все полученные результаты способствуют созданию препаратов на основе эритроцитов, которые могут быть использованы в клинике и имеют ряд серьезных преимуществ перед традиционными формами данных препаратов.</w:t>
      </w:r>
    </w:p>
    <w:p w14:paraId="279ACEA8" w14:textId="77777777" w:rsidR="00CD149B" w:rsidRPr="00B924B5" w:rsidRDefault="00CD149B" w:rsidP="00925BB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br w:type="page"/>
      </w:r>
    </w:p>
    <w:p w14:paraId="279ACEA9" w14:textId="77777777" w:rsidR="00297A43" w:rsidRPr="00B924B5" w:rsidRDefault="00297A43" w:rsidP="00297A4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11" w:name="_Toc275725"/>
      <w:bookmarkStart w:id="12" w:name="_Toc30081568"/>
      <w:bookmarkStart w:id="13" w:name="_Toc30510780"/>
      <w:bookmarkStart w:id="14" w:name="_Toc30515996"/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14:paraId="279ACEAA" w14:textId="77777777" w:rsidR="00297A43" w:rsidRPr="00584DEA" w:rsidRDefault="0006638C" w:rsidP="0006638C">
      <w:pPr>
        <w:tabs>
          <w:tab w:val="left" w:pos="8789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4DE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Стр.</w:t>
      </w:r>
    </w:p>
    <w:p w14:paraId="0E23F7C5" w14:textId="77777777" w:rsidR="00584DEA" w:rsidRPr="00584DEA" w:rsidRDefault="002148A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584DE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84DEA">
        <w:rPr>
          <w:rFonts w:ascii="Times New Roman" w:hAnsi="Times New Roman" w:cs="Times New Roman"/>
          <w:b/>
          <w:sz w:val="24"/>
          <w:szCs w:val="24"/>
        </w:rPr>
        <w:instrText xml:space="preserve"> TOC \o "1-4" \h \z \u </w:instrText>
      </w:r>
      <w:r w:rsidRPr="00584DEA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94790890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СОКРАЩЕНИЯ И ОБОЗНАЧЕНИЯ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_Toc94790890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4E4F59E" w14:textId="77777777" w:rsidR="00584DEA" w:rsidRPr="00584DEA" w:rsidRDefault="001A5224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891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_Toc94790891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EAF78F4" w14:textId="77777777" w:rsidR="00584DEA" w:rsidRPr="00584DEA" w:rsidRDefault="001A5224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892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ОСНОВНАЯ ЧАСТЬ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_Toc94790892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CBFF838" w14:textId="77777777" w:rsidR="00584DEA" w:rsidRPr="00584DEA" w:rsidRDefault="001A5224" w:rsidP="005F1D9D">
      <w:pPr>
        <w:pStyle w:val="41"/>
        <w:rPr>
          <w:rFonts w:eastAsiaTheme="minorEastAsia"/>
          <w:noProof/>
          <w:lang w:eastAsia="ru-RU"/>
        </w:rPr>
      </w:pPr>
      <w:hyperlink w:anchor="_Toc94790893" w:history="1">
        <w:r w:rsidR="00584DEA" w:rsidRPr="00584DEA"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</w:rPr>
          <w:t>1</w:t>
        </w:r>
        <w:r w:rsidR="00584DEA" w:rsidRPr="00584DEA">
          <w:rPr>
            <w:rFonts w:eastAsiaTheme="minorEastAsia"/>
            <w:noProof/>
            <w:lang w:eastAsia="ru-RU"/>
          </w:rPr>
          <w:tab/>
        </w:r>
        <w:r w:rsidR="00584DEA" w:rsidRPr="00584DEA"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</w:rPr>
          <w:t>Создание теоретической модели эритроцитов-биореакторов (ЭБР), способных удалять из крови этанол и ацетальдегид</w:t>
        </w:r>
        <w:r w:rsidR="00584DEA" w:rsidRPr="00584DEA">
          <w:rPr>
            <w:noProof/>
            <w:webHidden/>
          </w:rPr>
          <w:tab/>
        </w:r>
        <w:r w:rsidR="00584DEA" w:rsidRPr="00584DEA">
          <w:rPr>
            <w:noProof/>
            <w:webHidden/>
          </w:rPr>
          <w:fldChar w:fldCharType="begin"/>
        </w:r>
        <w:r w:rsidR="00584DEA" w:rsidRPr="00584DEA">
          <w:rPr>
            <w:noProof/>
            <w:webHidden/>
          </w:rPr>
          <w:instrText xml:space="preserve"> PAGEREF _Toc94790893 \h </w:instrText>
        </w:r>
        <w:r w:rsidR="00584DEA" w:rsidRPr="00584DEA">
          <w:rPr>
            <w:noProof/>
            <w:webHidden/>
          </w:rPr>
        </w:r>
        <w:r w:rsidR="00584DEA" w:rsidRPr="00584DEA">
          <w:rPr>
            <w:noProof/>
            <w:webHidden/>
          </w:rPr>
          <w:fldChar w:fldCharType="separate"/>
        </w:r>
        <w:r w:rsidR="00B5170F">
          <w:rPr>
            <w:noProof/>
            <w:webHidden/>
          </w:rPr>
          <w:t>11</w:t>
        </w:r>
        <w:r w:rsidR="00584DEA" w:rsidRPr="00584DEA">
          <w:rPr>
            <w:noProof/>
            <w:webHidden/>
          </w:rPr>
          <w:fldChar w:fldCharType="end"/>
        </w:r>
      </w:hyperlink>
    </w:p>
    <w:p w14:paraId="0BA22C14" w14:textId="77777777" w:rsidR="00584DEA" w:rsidRPr="00584DEA" w:rsidRDefault="001A5224">
      <w:pPr>
        <w:pStyle w:val="22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894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2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Математические модели ЭБР, утилизирующих аммоний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_Toc94790894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781A36D" w14:textId="77777777" w:rsidR="00584DEA" w:rsidRPr="00584DEA" w:rsidRDefault="001A5224">
      <w:pPr>
        <w:pStyle w:val="22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895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3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Уточненная модель ЭБР, содержащих GDH и ALT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_Toc94790895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3677438" w14:textId="77777777" w:rsidR="00584DEA" w:rsidRPr="00584DEA" w:rsidRDefault="001A5224">
      <w:pPr>
        <w:pStyle w:val="22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896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4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Экспериментальное получение аммоцитов, содержащих GDH из печени быка и ALT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_Toc94790896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2E29090" w14:textId="77777777" w:rsidR="00584DEA" w:rsidRPr="00584DEA" w:rsidRDefault="001A5224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897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4.1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Эффективность включения ферментов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_Toc94790897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D0C6D8" w14:textId="77777777" w:rsidR="00584DEA" w:rsidRPr="00584DEA" w:rsidRDefault="001A5224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898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4.2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Сравнение экспериментально измеренной и теоретически рассчитанной скорости удаления аммония из среды in vitro аммоцитами, содержащими GDH из печени быка и ALT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_Toc94790898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6920D6" w14:textId="77777777" w:rsidR="00584DEA" w:rsidRPr="00584DEA" w:rsidRDefault="001A5224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899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4.3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Удаление аммония in vivo в модели гипераммониемии у мышей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_Toc94790899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81D9FD1" w14:textId="77777777" w:rsidR="00584DEA" w:rsidRPr="00584DEA" w:rsidRDefault="001A5224">
      <w:pPr>
        <w:pStyle w:val="22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00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Разработка аммоцитов с увеличенной активностью GDH в клетках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_Toc94790900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388C1F5" w14:textId="77777777" w:rsidR="00584DEA" w:rsidRPr="00584DEA" w:rsidRDefault="001A5224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01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5.1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Выбор метода инкапсуляции и типа включаемого фермента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_Toc94790901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085B436" w14:textId="77777777" w:rsidR="00584DEA" w:rsidRPr="00584DEA" w:rsidRDefault="001A5224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02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5.2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Сравнение эффективности включения АЛТ и различных типов GDH в эритроциты разными методами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_Toc94790902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45F5E26" w14:textId="77777777" w:rsidR="00584DEA" w:rsidRPr="00584DEA" w:rsidRDefault="001A5224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03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5.3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Оценка качества эритроцитов-биореакторов, полученных с помощью метода проточного гипоосмотического диализа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_Toc94790903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9ABAC3F" w14:textId="77777777" w:rsidR="00584DEA" w:rsidRPr="00584DEA" w:rsidRDefault="001A5224" w:rsidP="005F1D9D">
      <w:pPr>
        <w:pStyle w:val="41"/>
        <w:rPr>
          <w:rFonts w:eastAsiaTheme="minorEastAsia"/>
          <w:noProof/>
          <w:lang w:eastAsia="ru-RU"/>
        </w:rPr>
      </w:pPr>
      <w:hyperlink w:anchor="_Toc94790904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5.3.1</w:t>
        </w:r>
        <w:r w:rsidR="00584DEA" w:rsidRPr="00584DEA">
          <w:rPr>
            <w:rFonts w:eastAsiaTheme="minorEastAsia"/>
            <w:noProof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Стандартные эритроцитарные индексы</w:t>
        </w:r>
        <w:r w:rsidR="00584DEA" w:rsidRPr="00584DEA">
          <w:rPr>
            <w:noProof/>
            <w:webHidden/>
          </w:rPr>
          <w:tab/>
        </w:r>
        <w:r w:rsidR="00584DEA" w:rsidRPr="00584DEA">
          <w:rPr>
            <w:noProof/>
            <w:webHidden/>
          </w:rPr>
          <w:fldChar w:fldCharType="begin"/>
        </w:r>
        <w:r w:rsidR="00584DEA" w:rsidRPr="00584DEA">
          <w:rPr>
            <w:noProof/>
            <w:webHidden/>
          </w:rPr>
          <w:instrText xml:space="preserve"> PAGEREF _Toc94790904 \h </w:instrText>
        </w:r>
        <w:r w:rsidR="00584DEA" w:rsidRPr="00584DEA">
          <w:rPr>
            <w:noProof/>
            <w:webHidden/>
          </w:rPr>
        </w:r>
        <w:r w:rsidR="00584DEA" w:rsidRPr="00584DEA">
          <w:rPr>
            <w:noProof/>
            <w:webHidden/>
          </w:rPr>
          <w:fldChar w:fldCharType="separate"/>
        </w:r>
        <w:r w:rsidR="00B5170F">
          <w:rPr>
            <w:noProof/>
            <w:webHidden/>
          </w:rPr>
          <w:t>43</w:t>
        </w:r>
        <w:r w:rsidR="00584DEA" w:rsidRPr="00584DEA">
          <w:rPr>
            <w:noProof/>
            <w:webHidden/>
          </w:rPr>
          <w:fldChar w:fldCharType="end"/>
        </w:r>
      </w:hyperlink>
    </w:p>
    <w:p w14:paraId="79FBE1EC" w14:textId="77777777" w:rsidR="00584DEA" w:rsidRPr="00584DEA" w:rsidRDefault="001A5224" w:rsidP="005F1D9D">
      <w:pPr>
        <w:pStyle w:val="41"/>
        <w:rPr>
          <w:rFonts w:eastAsiaTheme="minorEastAsia"/>
          <w:noProof/>
          <w:lang w:eastAsia="ru-RU"/>
        </w:rPr>
      </w:pPr>
      <w:hyperlink w:anchor="_Toc94790905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5.3.2</w:t>
        </w:r>
        <w:r w:rsidR="00584DEA" w:rsidRPr="00584DEA">
          <w:rPr>
            <w:rFonts w:eastAsiaTheme="minorEastAsia"/>
            <w:noProof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Гемолиз нативных эритроцитов и аммоцитов</w:t>
        </w:r>
        <w:r w:rsidR="00584DEA" w:rsidRPr="00584DEA">
          <w:rPr>
            <w:noProof/>
            <w:webHidden/>
          </w:rPr>
          <w:tab/>
        </w:r>
        <w:r w:rsidR="00584DEA" w:rsidRPr="00584DEA">
          <w:rPr>
            <w:noProof/>
            <w:webHidden/>
          </w:rPr>
          <w:fldChar w:fldCharType="begin"/>
        </w:r>
        <w:r w:rsidR="00584DEA" w:rsidRPr="00584DEA">
          <w:rPr>
            <w:noProof/>
            <w:webHidden/>
          </w:rPr>
          <w:instrText xml:space="preserve"> PAGEREF _Toc94790905 \h </w:instrText>
        </w:r>
        <w:r w:rsidR="00584DEA" w:rsidRPr="00584DEA">
          <w:rPr>
            <w:noProof/>
            <w:webHidden/>
          </w:rPr>
        </w:r>
        <w:r w:rsidR="00584DEA" w:rsidRPr="00584DEA">
          <w:rPr>
            <w:noProof/>
            <w:webHidden/>
          </w:rPr>
          <w:fldChar w:fldCharType="separate"/>
        </w:r>
        <w:r w:rsidR="00B5170F">
          <w:rPr>
            <w:noProof/>
            <w:webHidden/>
          </w:rPr>
          <w:t>43</w:t>
        </w:r>
        <w:r w:rsidR="00584DEA" w:rsidRPr="00584DEA">
          <w:rPr>
            <w:noProof/>
            <w:webHidden/>
          </w:rPr>
          <w:fldChar w:fldCharType="end"/>
        </w:r>
      </w:hyperlink>
    </w:p>
    <w:p w14:paraId="4F17104C" w14:textId="77777777" w:rsidR="00584DEA" w:rsidRPr="00584DEA" w:rsidRDefault="001A5224" w:rsidP="005F1D9D">
      <w:pPr>
        <w:pStyle w:val="41"/>
        <w:rPr>
          <w:rFonts w:eastAsiaTheme="minorEastAsia"/>
          <w:noProof/>
          <w:lang w:eastAsia="ru-RU"/>
        </w:rPr>
      </w:pPr>
      <w:hyperlink w:anchor="_Toc94790906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5.3.3</w:t>
        </w:r>
        <w:r w:rsidR="00584DEA" w:rsidRPr="00584DEA">
          <w:rPr>
            <w:rFonts w:eastAsiaTheme="minorEastAsia"/>
            <w:noProof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Осмотическая хрупкость исходных эритроцитов и аммоцитов</w:t>
        </w:r>
        <w:r w:rsidR="00584DEA" w:rsidRPr="00584DEA">
          <w:rPr>
            <w:noProof/>
            <w:webHidden/>
          </w:rPr>
          <w:tab/>
        </w:r>
        <w:r w:rsidR="00584DEA" w:rsidRPr="00584DEA">
          <w:rPr>
            <w:noProof/>
            <w:webHidden/>
          </w:rPr>
          <w:fldChar w:fldCharType="begin"/>
        </w:r>
        <w:r w:rsidR="00584DEA" w:rsidRPr="00584DEA">
          <w:rPr>
            <w:noProof/>
            <w:webHidden/>
          </w:rPr>
          <w:instrText xml:space="preserve"> PAGEREF _Toc94790906 \h </w:instrText>
        </w:r>
        <w:r w:rsidR="00584DEA" w:rsidRPr="00584DEA">
          <w:rPr>
            <w:noProof/>
            <w:webHidden/>
          </w:rPr>
        </w:r>
        <w:r w:rsidR="00584DEA" w:rsidRPr="00584DEA">
          <w:rPr>
            <w:noProof/>
            <w:webHidden/>
          </w:rPr>
          <w:fldChar w:fldCharType="separate"/>
        </w:r>
        <w:r w:rsidR="00B5170F">
          <w:rPr>
            <w:noProof/>
            <w:webHidden/>
          </w:rPr>
          <w:t>43</w:t>
        </w:r>
        <w:r w:rsidR="00584DEA" w:rsidRPr="00584DEA">
          <w:rPr>
            <w:noProof/>
            <w:webHidden/>
          </w:rPr>
          <w:fldChar w:fldCharType="end"/>
        </w:r>
      </w:hyperlink>
    </w:p>
    <w:p w14:paraId="42D90D4C" w14:textId="77777777" w:rsidR="00584DEA" w:rsidRPr="00584DEA" w:rsidRDefault="001A5224" w:rsidP="005F1D9D">
      <w:pPr>
        <w:pStyle w:val="41"/>
        <w:rPr>
          <w:rFonts w:eastAsiaTheme="minorEastAsia"/>
          <w:noProof/>
          <w:lang w:eastAsia="ru-RU"/>
        </w:rPr>
      </w:pPr>
      <w:hyperlink w:anchor="_Toc94790907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5.3.4</w:t>
        </w:r>
        <w:r w:rsidR="00584DEA" w:rsidRPr="00584DEA">
          <w:rPr>
            <w:rFonts w:eastAsiaTheme="minorEastAsia"/>
            <w:noProof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Изменения концентрации ферментов внутри аммоцитов при хранении</w:t>
        </w:r>
        <w:r w:rsidR="00584DEA" w:rsidRPr="00584DEA">
          <w:rPr>
            <w:noProof/>
            <w:webHidden/>
          </w:rPr>
          <w:tab/>
        </w:r>
        <w:r w:rsidR="00584DEA" w:rsidRPr="00584DEA">
          <w:rPr>
            <w:noProof/>
            <w:webHidden/>
          </w:rPr>
          <w:fldChar w:fldCharType="begin"/>
        </w:r>
        <w:r w:rsidR="00584DEA" w:rsidRPr="00584DEA">
          <w:rPr>
            <w:noProof/>
            <w:webHidden/>
          </w:rPr>
          <w:instrText xml:space="preserve"> PAGEREF _Toc94790907 \h </w:instrText>
        </w:r>
        <w:r w:rsidR="00584DEA" w:rsidRPr="00584DEA">
          <w:rPr>
            <w:noProof/>
            <w:webHidden/>
          </w:rPr>
        </w:r>
        <w:r w:rsidR="00584DEA" w:rsidRPr="00584DEA">
          <w:rPr>
            <w:noProof/>
            <w:webHidden/>
          </w:rPr>
          <w:fldChar w:fldCharType="separate"/>
        </w:r>
        <w:r w:rsidR="00B5170F">
          <w:rPr>
            <w:noProof/>
            <w:webHidden/>
          </w:rPr>
          <w:t>45</w:t>
        </w:r>
        <w:r w:rsidR="00584DEA" w:rsidRPr="00584DEA">
          <w:rPr>
            <w:noProof/>
            <w:webHidden/>
          </w:rPr>
          <w:fldChar w:fldCharType="end"/>
        </w:r>
      </w:hyperlink>
    </w:p>
    <w:p w14:paraId="1BE006B6" w14:textId="77777777" w:rsidR="00584DEA" w:rsidRPr="00584DEA" w:rsidRDefault="001A5224" w:rsidP="005F1D9D">
      <w:pPr>
        <w:pStyle w:val="41"/>
        <w:rPr>
          <w:rFonts w:eastAsiaTheme="minorEastAsia"/>
          <w:noProof/>
          <w:lang w:eastAsia="ru-RU"/>
        </w:rPr>
      </w:pPr>
      <w:hyperlink w:anchor="_Toc94790908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5.3.5</w:t>
        </w:r>
        <w:r w:rsidR="00584DEA" w:rsidRPr="00584DEA">
          <w:rPr>
            <w:rFonts w:eastAsiaTheme="minorEastAsia"/>
            <w:noProof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 xml:space="preserve"> Фильтруемость</w:t>
        </w:r>
        <w:r w:rsidR="00584DEA" w:rsidRPr="00584DEA">
          <w:rPr>
            <w:noProof/>
            <w:webHidden/>
          </w:rPr>
          <w:tab/>
        </w:r>
        <w:r w:rsidR="00584DEA" w:rsidRPr="00584DEA">
          <w:rPr>
            <w:noProof/>
            <w:webHidden/>
          </w:rPr>
          <w:fldChar w:fldCharType="begin"/>
        </w:r>
        <w:r w:rsidR="00584DEA" w:rsidRPr="00584DEA">
          <w:rPr>
            <w:noProof/>
            <w:webHidden/>
          </w:rPr>
          <w:instrText xml:space="preserve"> PAGEREF _Toc94790908 \h </w:instrText>
        </w:r>
        <w:r w:rsidR="00584DEA" w:rsidRPr="00584DEA">
          <w:rPr>
            <w:noProof/>
            <w:webHidden/>
          </w:rPr>
        </w:r>
        <w:r w:rsidR="00584DEA" w:rsidRPr="00584DEA">
          <w:rPr>
            <w:noProof/>
            <w:webHidden/>
          </w:rPr>
          <w:fldChar w:fldCharType="separate"/>
        </w:r>
        <w:r w:rsidR="00B5170F">
          <w:rPr>
            <w:noProof/>
            <w:webHidden/>
          </w:rPr>
          <w:t>46</w:t>
        </w:r>
        <w:r w:rsidR="00584DEA" w:rsidRPr="00584DEA">
          <w:rPr>
            <w:noProof/>
            <w:webHidden/>
          </w:rPr>
          <w:fldChar w:fldCharType="end"/>
        </w:r>
      </w:hyperlink>
    </w:p>
    <w:p w14:paraId="7C6E2F62" w14:textId="77777777" w:rsidR="00584DEA" w:rsidRPr="00584DEA" w:rsidRDefault="001A5224">
      <w:pPr>
        <w:pStyle w:val="22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09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6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Эффективность удаления аммония аммоцитами, содержащими ALT и GDH из Proteus sp., in vitro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_Toc94790909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47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A1CB671" w14:textId="77777777" w:rsidR="00584DEA" w:rsidRPr="00584DEA" w:rsidRDefault="001A5224">
      <w:pPr>
        <w:pStyle w:val="22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10" w:history="1">
        <w:r w:rsidR="00584DEA" w:rsidRPr="00584DEA">
          <w:rPr>
            <w:rStyle w:val="a3"/>
            <w:rFonts w:ascii="Times New Roman" w:eastAsiaTheme="majorEastAsia" w:hAnsi="Times New Roman" w:cs="Times New Roman"/>
            <w:noProof/>
            <w:sz w:val="24"/>
            <w:szCs w:val="24"/>
          </w:rPr>
          <w:t>7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eastAsiaTheme="majorEastAsia" w:hAnsi="Times New Roman" w:cs="Times New Roman"/>
            <w:noProof/>
            <w:sz w:val="24"/>
            <w:szCs w:val="24"/>
          </w:rPr>
          <w:t xml:space="preserve">Разработка автоматической установки для </w:t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включения ферментов в эритроциты с помощью проточного гипоосмотического диализа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_Toc94790910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A8FDFFF" w14:textId="77777777" w:rsidR="00584DEA" w:rsidRPr="00584DEA" w:rsidRDefault="001A5224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11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7.1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Автоматическая установка для получения эритроцитов-носителей биологически активных компонентов методом проточного гипоосмотического диализа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_Toc94790911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911665" w14:textId="77777777" w:rsidR="00584DEA" w:rsidRPr="00584DEA" w:rsidRDefault="001A5224">
      <w:pPr>
        <w:pStyle w:val="31"/>
        <w:tabs>
          <w:tab w:val="left" w:pos="110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12" w:history="1">
        <w:r w:rsidR="00584DEA" w:rsidRPr="00584DEA">
          <w:rPr>
            <w:rStyle w:val="a3"/>
            <w:rFonts w:ascii="Times New Roman" w:eastAsia="Calibri" w:hAnsi="Times New Roman" w:cs="Times New Roman"/>
            <w:noProof/>
            <w:sz w:val="24"/>
            <w:szCs w:val="24"/>
            <w:lang w:eastAsia="ru-RU"/>
          </w:rPr>
          <w:t>7.2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Оптимизация условий включения ферментных препаратов в эритроциты с помощью проточного гипоосмотического диализа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_Toc94790912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54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5151BF4" w14:textId="77777777" w:rsidR="00584DEA" w:rsidRPr="00584DEA" w:rsidRDefault="001A5224">
      <w:pPr>
        <w:pStyle w:val="22"/>
        <w:tabs>
          <w:tab w:val="left" w:pos="660"/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13" w:history="1">
        <w:r w:rsidR="00584DEA" w:rsidRPr="00584DEA">
          <w:rPr>
            <w:rStyle w:val="a3"/>
            <w:rFonts w:ascii="Times New Roman" w:eastAsia="Arial Unicode MS" w:hAnsi="Times New Roman" w:cs="Times New Roman"/>
            <w:iCs/>
            <w:noProof/>
            <w:sz w:val="24"/>
            <w:szCs w:val="24"/>
            <w:u w:color="0000FF"/>
            <w:bdr w:val="nil"/>
            <w:lang w:eastAsia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8</w:t>
        </w:r>
        <w:r w:rsidR="00584DEA" w:rsidRPr="00584DEA">
          <w:rPr>
            <w:rFonts w:ascii="Times New Roman" w:eastAsiaTheme="minorEastAsia" w:hAnsi="Times New Roman" w:cs="Times New Roman"/>
            <w:noProof/>
            <w:sz w:val="24"/>
            <w:szCs w:val="24"/>
            <w:lang w:eastAsia="ru-RU"/>
          </w:rPr>
          <w:tab/>
        </w:r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Создание стерильного препарата L-аспарагиназы для применения в клинике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_Toc94790913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56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5DE0B79" w14:textId="77777777" w:rsidR="00584DEA" w:rsidRPr="00584DEA" w:rsidRDefault="001A5224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14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ЗАКЛЮЧЕНИЕ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_Toc94790914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63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26B04C4" w14:textId="77777777" w:rsidR="00584DEA" w:rsidRPr="00584DEA" w:rsidRDefault="001A5224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15" w:history="1">
        <w:r w:rsidR="00584DEA" w:rsidRPr="00584DEA">
          <w:rPr>
            <w:rStyle w:val="a3"/>
            <w:rFonts w:ascii="Times New Roman" w:hAnsi="Times New Roman" w:cs="Times New Roman"/>
            <w:caps/>
            <w:noProof/>
            <w:sz w:val="24"/>
            <w:szCs w:val="24"/>
          </w:rPr>
          <w:t>Список использованных источников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_Toc94790915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67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EA28495" w14:textId="77777777" w:rsidR="00584DEA" w:rsidRPr="00584DEA" w:rsidRDefault="001A5224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94790916" w:history="1">
        <w:r w:rsidR="00584DEA" w:rsidRPr="00584DEA">
          <w:rPr>
            <w:rStyle w:val="a3"/>
            <w:rFonts w:ascii="Times New Roman" w:hAnsi="Times New Roman" w:cs="Times New Roman"/>
            <w:noProof/>
            <w:sz w:val="24"/>
            <w:szCs w:val="24"/>
          </w:rPr>
          <w:t>Приложение 1. Список работ, опубликованных по итогам выполнения НИР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_Toc94790916 \h </w:instrTex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5170F">
          <w:rPr>
            <w:rFonts w:ascii="Times New Roman" w:hAnsi="Times New Roman" w:cs="Times New Roman"/>
            <w:noProof/>
            <w:webHidden/>
            <w:sz w:val="24"/>
            <w:szCs w:val="24"/>
          </w:rPr>
          <w:t>70</w:t>
        </w:r>
        <w:r w:rsidR="00584DEA" w:rsidRPr="00584DEA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76DBD5" w14:textId="77777777" w:rsidR="007335FD" w:rsidRPr="00584DEA" w:rsidRDefault="002148AB" w:rsidP="002148AB">
      <w:pPr>
        <w:pStyle w:val="1"/>
        <w:rPr>
          <w:b w:val="0"/>
        </w:rPr>
      </w:pPr>
      <w:r w:rsidRPr="00584DEA">
        <w:rPr>
          <w:b w:val="0"/>
        </w:rPr>
        <w:fldChar w:fldCharType="end"/>
      </w:r>
    </w:p>
    <w:p w14:paraId="07520F15" w14:textId="77777777" w:rsidR="007335FD" w:rsidRPr="00584DEA" w:rsidRDefault="007335F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4DE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79ACED6" w14:textId="34DC6D18" w:rsidR="00780A11" w:rsidRPr="002148AB" w:rsidRDefault="00780A11" w:rsidP="002148AB">
      <w:pPr>
        <w:pStyle w:val="1"/>
      </w:pPr>
      <w:bookmarkStart w:id="15" w:name="_Toc94790890"/>
      <w:r w:rsidRPr="002148AB">
        <w:lastRenderedPageBreak/>
        <w:t>СОКРАЩЕНИЯ И ОБОЗНАЧЕНИЯ</w:t>
      </w:r>
      <w:bookmarkEnd w:id="15"/>
      <w:r w:rsidRPr="002148AB">
        <w:t xml:space="preserve"> </w:t>
      </w:r>
    </w:p>
    <w:p w14:paraId="279ACED7" w14:textId="77777777" w:rsidR="00780A11" w:rsidRPr="00B924B5" w:rsidRDefault="00780A11" w:rsidP="00780A1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ED8" w14:textId="77777777" w:rsidR="00780A11" w:rsidRPr="00B924B5" w:rsidRDefault="00780A11" w:rsidP="00553A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отчете о НИР применяются следующие сокращения и обозначения:</w:t>
      </w:r>
    </w:p>
    <w:p w14:paraId="279ACED9" w14:textId="77777777" w:rsidR="00780A11" w:rsidRPr="00B924B5" w:rsidRDefault="00780A11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96" w:type="dxa"/>
        <w:tblInd w:w="98" w:type="dxa"/>
        <w:tblLook w:val="0000" w:firstRow="0" w:lastRow="0" w:firstColumn="0" w:lastColumn="0" w:noHBand="0" w:noVBand="0"/>
      </w:tblPr>
      <w:tblGrid>
        <w:gridCol w:w="1848"/>
        <w:gridCol w:w="7548"/>
      </w:tblGrid>
      <w:tr w:rsidR="00780A11" w:rsidRPr="00B924B5" w14:paraId="279ACEDC" w14:textId="77777777" w:rsidTr="00297A43">
        <w:trPr>
          <w:trHeight w:val="436"/>
        </w:trPr>
        <w:tc>
          <w:tcPr>
            <w:tcW w:w="1848" w:type="dxa"/>
          </w:tcPr>
          <w:p w14:paraId="279ACEDA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ACALD</w:t>
            </w:r>
          </w:p>
        </w:tc>
        <w:tc>
          <w:tcPr>
            <w:tcW w:w="7548" w:type="dxa"/>
          </w:tcPr>
          <w:p w14:paraId="279ACEDB" w14:textId="77777777" w:rsidR="00780A11" w:rsidRPr="00B924B5" w:rsidRDefault="00780A11" w:rsidP="00553A28">
            <w:pPr>
              <w:pStyle w:val="a5"/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ацетальдегид</w:t>
            </w:r>
          </w:p>
        </w:tc>
      </w:tr>
      <w:tr w:rsidR="00780A11" w:rsidRPr="00B924B5" w14:paraId="279ACEDF" w14:textId="77777777" w:rsidTr="00297A43">
        <w:trPr>
          <w:trHeight w:val="473"/>
        </w:trPr>
        <w:tc>
          <w:tcPr>
            <w:tcW w:w="1848" w:type="dxa"/>
          </w:tcPr>
          <w:p w14:paraId="279ACEDD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</w:p>
        </w:tc>
        <w:tc>
          <w:tcPr>
            <w:tcW w:w="7548" w:type="dxa"/>
          </w:tcPr>
          <w:p w14:paraId="279ACEDE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ацетат</w:t>
            </w:r>
          </w:p>
        </w:tc>
      </w:tr>
      <w:tr w:rsidR="00780A11" w:rsidRPr="00B924B5" w14:paraId="279ACEE2" w14:textId="77777777" w:rsidTr="00297A43">
        <w:trPr>
          <w:trHeight w:val="684"/>
        </w:trPr>
        <w:tc>
          <w:tcPr>
            <w:tcW w:w="1848" w:type="dxa"/>
          </w:tcPr>
          <w:p w14:paraId="279ACEE0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ADH</w:t>
            </w:r>
          </w:p>
        </w:tc>
        <w:tc>
          <w:tcPr>
            <w:tcW w:w="7548" w:type="dxa"/>
          </w:tcPr>
          <w:p w14:paraId="279ACEE1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алкогольдегидрогеназа</w:t>
            </w:r>
          </w:p>
        </w:tc>
      </w:tr>
      <w:tr w:rsidR="00780A11" w:rsidRPr="00B924B5" w14:paraId="279ACEE5" w14:textId="77777777" w:rsidTr="00297A43">
        <w:trPr>
          <w:trHeight w:val="684"/>
        </w:trPr>
        <w:tc>
          <w:tcPr>
            <w:tcW w:w="1848" w:type="dxa"/>
          </w:tcPr>
          <w:p w14:paraId="279ACEE3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ALDH</w:t>
            </w:r>
          </w:p>
        </w:tc>
        <w:tc>
          <w:tcPr>
            <w:tcW w:w="7548" w:type="dxa"/>
          </w:tcPr>
          <w:p w14:paraId="279ACEE4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ацетальдегиддегилрогеназа</w:t>
            </w:r>
            <w:proofErr w:type="spellEnd"/>
          </w:p>
        </w:tc>
      </w:tr>
      <w:tr w:rsidR="00780A11" w:rsidRPr="00B924B5" w14:paraId="279ACEE8" w14:textId="77777777" w:rsidTr="00297A43">
        <w:trPr>
          <w:trHeight w:val="684"/>
        </w:trPr>
        <w:tc>
          <w:tcPr>
            <w:tcW w:w="1848" w:type="dxa"/>
          </w:tcPr>
          <w:p w14:paraId="279ACEE6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ADP</w:t>
            </w:r>
          </w:p>
        </w:tc>
        <w:tc>
          <w:tcPr>
            <w:tcW w:w="7548" w:type="dxa"/>
          </w:tcPr>
          <w:p w14:paraId="279ACEE7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аденозиндифосфат</w:t>
            </w:r>
          </w:p>
        </w:tc>
      </w:tr>
      <w:tr w:rsidR="00780A11" w:rsidRPr="00B924B5" w14:paraId="279ACEEB" w14:textId="77777777" w:rsidTr="00297A43">
        <w:trPr>
          <w:trHeight w:val="684"/>
        </w:trPr>
        <w:tc>
          <w:tcPr>
            <w:tcW w:w="1848" w:type="dxa"/>
          </w:tcPr>
          <w:p w14:paraId="279ACEE9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  <w:t>AKG</w:t>
            </w:r>
          </w:p>
        </w:tc>
        <w:tc>
          <w:tcPr>
            <w:tcW w:w="7548" w:type="dxa"/>
          </w:tcPr>
          <w:p w14:paraId="279ACEEA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α-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кетоглутарат</w:t>
            </w:r>
            <w:proofErr w:type="spellEnd"/>
          </w:p>
        </w:tc>
      </w:tr>
      <w:tr w:rsidR="00780A11" w:rsidRPr="00B924B5" w14:paraId="279ACEEE" w14:textId="77777777" w:rsidTr="00297A43">
        <w:trPr>
          <w:trHeight w:val="684"/>
        </w:trPr>
        <w:tc>
          <w:tcPr>
            <w:tcW w:w="1848" w:type="dxa"/>
          </w:tcPr>
          <w:p w14:paraId="279ACEEC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  <w:t>ALA</w:t>
            </w:r>
          </w:p>
        </w:tc>
        <w:tc>
          <w:tcPr>
            <w:tcW w:w="7548" w:type="dxa"/>
          </w:tcPr>
          <w:p w14:paraId="279ACEED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аланин</w:t>
            </w:r>
          </w:p>
        </w:tc>
      </w:tr>
      <w:tr w:rsidR="00780A11" w:rsidRPr="00B924B5" w14:paraId="279ACEF1" w14:textId="77777777" w:rsidTr="00297A43">
        <w:trPr>
          <w:trHeight w:val="684"/>
        </w:trPr>
        <w:tc>
          <w:tcPr>
            <w:tcW w:w="1848" w:type="dxa"/>
          </w:tcPr>
          <w:p w14:paraId="279ACEEF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Алкоцит</w:t>
            </w:r>
            <w:proofErr w:type="spellEnd"/>
          </w:p>
        </w:tc>
        <w:tc>
          <w:tcPr>
            <w:tcW w:w="7548" w:type="dxa"/>
          </w:tcPr>
          <w:p w14:paraId="279ACEF0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эритроцит-биореактор, перерабатывающий этанол и ацетальдегид</w:t>
            </w:r>
          </w:p>
        </w:tc>
      </w:tr>
      <w:tr w:rsidR="00780A11" w:rsidRPr="00B924B5" w14:paraId="279ACEF4" w14:textId="77777777" w:rsidTr="00297A43">
        <w:trPr>
          <w:trHeight w:val="684"/>
        </w:trPr>
        <w:tc>
          <w:tcPr>
            <w:tcW w:w="1848" w:type="dxa"/>
          </w:tcPr>
          <w:p w14:paraId="279ACEF2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7548" w:type="dxa"/>
          </w:tcPr>
          <w:p w14:paraId="279ACEF3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аланиааминотрансфераза</w:t>
            </w:r>
            <w:proofErr w:type="spellEnd"/>
          </w:p>
        </w:tc>
      </w:tr>
      <w:tr w:rsidR="00780A11" w:rsidRPr="00B924B5" w14:paraId="279ACEF7" w14:textId="77777777" w:rsidTr="00297A43">
        <w:trPr>
          <w:trHeight w:val="684"/>
        </w:trPr>
        <w:tc>
          <w:tcPr>
            <w:tcW w:w="1848" w:type="dxa"/>
          </w:tcPr>
          <w:p w14:paraId="279ACEF5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Аммоцит</w:t>
            </w:r>
            <w:proofErr w:type="spellEnd"/>
          </w:p>
        </w:tc>
        <w:tc>
          <w:tcPr>
            <w:tcW w:w="7548" w:type="dxa"/>
          </w:tcPr>
          <w:p w14:paraId="279ACEF6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эритроцит-биореактор, перерабатывающий аммоний</w:t>
            </w:r>
          </w:p>
        </w:tc>
      </w:tr>
      <w:tr w:rsidR="00780A11" w:rsidRPr="00B924B5" w14:paraId="279ACEFA" w14:textId="77777777" w:rsidTr="00297A43">
        <w:trPr>
          <w:trHeight w:val="684"/>
        </w:trPr>
        <w:tc>
          <w:tcPr>
            <w:tcW w:w="1848" w:type="dxa"/>
          </w:tcPr>
          <w:p w14:paraId="279ACEF8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AMP</w:t>
            </w:r>
          </w:p>
        </w:tc>
        <w:tc>
          <w:tcPr>
            <w:tcW w:w="7548" w:type="dxa"/>
          </w:tcPr>
          <w:p w14:paraId="279ACEF9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аденозинмонофосфат</w:t>
            </w:r>
            <w:proofErr w:type="spellEnd"/>
          </w:p>
        </w:tc>
      </w:tr>
      <w:tr w:rsidR="00780A11" w:rsidRPr="00B924B5" w14:paraId="279ACEFD" w14:textId="77777777" w:rsidTr="00297A43">
        <w:trPr>
          <w:trHeight w:val="684"/>
        </w:trPr>
        <w:tc>
          <w:tcPr>
            <w:tcW w:w="1848" w:type="dxa"/>
          </w:tcPr>
          <w:p w14:paraId="279ACEFB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ATP</w:t>
            </w:r>
          </w:p>
        </w:tc>
        <w:tc>
          <w:tcPr>
            <w:tcW w:w="7548" w:type="dxa"/>
          </w:tcPr>
          <w:p w14:paraId="279ACEFC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аденозинтрифосфат</w:t>
            </w:r>
          </w:p>
        </w:tc>
      </w:tr>
      <w:tr w:rsidR="00780A11" w:rsidRPr="00B924B5" w14:paraId="279ACF00" w14:textId="77777777" w:rsidTr="00297A43">
        <w:trPr>
          <w:trHeight w:val="684"/>
        </w:trPr>
        <w:tc>
          <w:tcPr>
            <w:tcW w:w="1848" w:type="dxa"/>
          </w:tcPr>
          <w:p w14:paraId="279ACEFE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DAP</w:t>
            </w:r>
          </w:p>
        </w:tc>
        <w:tc>
          <w:tcPr>
            <w:tcW w:w="7548" w:type="dxa"/>
          </w:tcPr>
          <w:p w14:paraId="279ACEFF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дигидроксиацетон</w:t>
            </w:r>
            <w:proofErr w:type="spellEnd"/>
          </w:p>
        </w:tc>
      </w:tr>
      <w:tr w:rsidR="00780A11" w:rsidRPr="00B924B5" w14:paraId="279ACF03" w14:textId="77777777" w:rsidTr="00297A43">
        <w:trPr>
          <w:trHeight w:val="684"/>
        </w:trPr>
        <w:tc>
          <w:tcPr>
            <w:tcW w:w="1848" w:type="dxa"/>
          </w:tcPr>
          <w:p w14:paraId="279ACF01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1,3-</w:t>
            </w: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DPG</w:t>
            </w:r>
          </w:p>
        </w:tc>
        <w:tc>
          <w:tcPr>
            <w:tcW w:w="7548" w:type="dxa"/>
          </w:tcPr>
          <w:p w14:paraId="279ACF02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- 1,3-дифосфоглицерат</w:t>
            </w:r>
          </w:p>
        </w:tc>
      </w:tr>
      <w:tr w:rsidR="00780A11" w:rsidRPr="00B924B5" w14:paraId="279ACF06" w14:textId="77777777" w:rsidTr="00297A43">
        <w:trPr>
          <w:trHeight w:val="684"/>
        </w:trPr>
        <w:tc>
          <w:tcPr>
            <w:tcW w:w="1848" w:type="dxa"/>
          </w:tcPr>
          <w:p w14:paraId="279ACF04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2,3-</w:t>
            </w: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DPG</w:t>
            </w:r>
          </w:p>
        </w:tc>
        <w:tc>
          <w:tcPr>
            <w:tcW w:w="7548" w:type="dxa"/>
          </w:tcPr>
          <w:p w14:paraId="279ACF05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- 2,3-дифосфоглицерат</w:t>
            </w:r>
          </w:p>
        </w:tc>
      </w:tr>
      <w:tr w:rsidR="00780A11" w:rsidRPr="00B924B5" w14:paraId="279ACF09" w14:textId="77777777" w:rsidTr="00297A43">
        <w:trPr>
          <w:trHeight w:val="684"/>
        </w:trPr>
        <w:tc>
          <w:tcPr>
            <w:tcW w:w="1848" w:type="dxa"/>
          </w:tcPr>
          <w:p w14:paraId="279ACF07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ETH</w:t>
            </w:r>
          </w:p>
        </w:tc>
        <w:tc>
          <w:tcPr>
            <w:tcW w:w="7548" w:type="dxa"/>
          </w:tcPr>
          <w:p w14:paraId="279ACF08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этанол</w:t>
            </w:r>
          </w:p>
        </w:tc>
      </w:tr>
      <w:tr w:rsidR="00780A11" w:rsidRPr="00B924B5" w14:paraId="279ACF0C" w14:textId="77777777" w:rsidTr="00297A43">
        <w:trPr>
          <w:trHeight w:val="684"/>
        </w:trPr>
        <w:tc>
          <w:tcPr>
            <w:tcW w:w="1848" w:type="dxa"/>
          </w:tcPr>
          <w:p w14:paraId="279ACF0A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FDP</w:t>
            </w:r>
          </w:p>
        </w:tc>
        <w:tc>
          <w:tcPr>
            <w:tcW w:w="7548" w:type="dxa"/>
          </w:tcPr>
          <w:p w14:paraId="279ACF0B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фруктозо-1,6-дифосфат</w:t>
            </w:r>
          </w:p>
        </w:tc>
      </w:tr>
      <w:tr w:rsidR="00780A11" w:rsidRPr="00B924B5" w14:paraId="279ACF0F" w14:textId="77777777" w:rsidTr="00297A43">
        <w:trPr>
          <w:trHeight w:val="684"/>
        </w:trPr>
        <w:tc>
          <w:tcPr>
            <w:tcW w:w="1848" w:type="dxa"/>
          </w:tcPr>
          <w:p w14:paraId="279ACF0D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GAPDH</w:t>
            </w:r>
          </w:p>
        </w:tc>
        <w:tc>
          <w:tcPr>
            <w:tcW w:w="7548" w:type="dxa"/>
          </w:tcPr>
          <w:p w14:paraId="279ACF0E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глицеральдегидфосфатдегидрогеназа</w:t>
            </w:r>
            <w:proofErr w:type="spellEnd"/>
          </w:p>
        </w:tc>
      </w:tr>
      <w:tr w:rsidR="00780A11" w:rsidRPr="00B924B5" w14:paraId="279ACF12" w14:textId="77777777" w:rsidTr="00297A43">
        <w:trPr>
          <w:trHeight w:val="684"/>
        </w:trPr>
        <w:tc>
          <w:tcPr>
            <w:tcW w:w="1848" w:type="dxa"/>
          </w:tcPr>
          <w:p w14:paraId="279ACF10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GDH</w:t>
            </w:r>
          </w:p>
        </w:tc>
        <w:tc>
          <w:tcPr>
            <w:tcW w:w="7548" w:type="dxa"/>
          </w:tcPr>
          <w:p w14:paraId="279ACF11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глутаматдегидрогеназа</w:t>
            </w:r>
            <w:proofErr w:type="spellEnd"/>
          </w:p>
        </w:tc>
      </w:tr>
      <w:tr w:rsidR="00780A11" w:rsidRPr="00B924B5" w14:paraId="279ACF15" w14:textId="77777777" w:rsidTr="00297A43">
        <w:trPr>
          <w:trHeight w:val="684"/>
        </w:trPr>
        <w:tc>
          <w:tcPr>
            <w:tcW w:w="1848" w:type="dxa"/>
          </w:tcPr>
          <w:p w14:paraId="279ACF13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GLC</w:t>
            </w:r>
          </w:p>
        </w:tc>
        <w:tc>
          <w:tcPr>
            <w:tcW w:w="7548" w:type="dxa"/>
          </w:tcPr>
          <w:p w14:paraId="279ACF14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глюкоза</w:t>
            </w:r>
          </w:p>
        </w:tc>
      </w:tr>
      <w:tr w:rsidR="00780A11" w:rsidRPr="00B924B5" w14:paraId="279ACF18" w14:textId="77777777" w:rsidTr="00297A43">
        <w:trPr>
          <w:trHeight w:val="684"/>
        </w:trPr>
        <w:tc>
          <w:tcPr>
            <w:tcW w:w="1848" w:type="dxa"/>
          </w:tcPr>
          <w:p w14:paraId="279ACF16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  <w:t>GLU</w:t>
            </w:r>
          </w:p>
        </w:tc>
        <w:tc>
          <w:tcPr>
            <w:tcW w:w="7548" w:type="dxa"/>
          </w:tcPr>
          <w:p w14:paraId="279ACF17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L-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глутаминовая</w:t>
            </w:r>
            <w:proofErr w:type="spellEnd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кислота (глутамат)</w:t>
            </w:r>
          </w:p>
        </w:tc>
      </w:tr>
      <w:tr w:rsidR="00780A11" w:rsidRPr="00B924B5" w14:paraId="279ACF1B" w14:textId="77777777" w:rsidTr="00297A43">
        <w:trPr>
          <w:trHeight w:val="684"/>
        </w:trPr>
        <w:tc>
          <w:tcPr>
            <w:tcW w:w="1848" w:type="dxa"/>
          </w:tcPr>
          <w:p w14:paraId="279ACF19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G6P</w:t>
            </w:r>
          </w:p>
        </w:tc>
        <w:tc>
          <w:tcPr>
            <w:tcW w:w="7548" w:type="dxa"/>
          </w:tcPr>
          <w:p w14:paraId="279ACF1A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глюкозо-6-фосфат</w:t>
            </w:r>
          </w:p>
        </w:tc>
      </w:tr>
      <w:tr w:rsidR="00780A11" w:rsidRPr="00B924B5" w14:paraId="279ACF1E" w14:textId="77777777" w:rsidTr="00297A43">
        <w:trPr>
          <w:trHeight w:val="684"/>
        </w:trPr>
        <w:tc>
          <w:tcPr>
            <w:tcW w:w="1848" w:type="dxa"/>
          </w:tcPr>
          <w:p w14:paraId="279ACF1C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G6PDH</w:t>
            </w:r>
          </w:p>
        </w:tc>
        <w:tc>
          <w:tcPr>
            <w:tcW w:w="7548" w:type="dxa"/>
          </w:tcPr>
          <w:p w14:paraId="279ACF1D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глюкозо-6-фосфатдегидрогеназа</w:t>
            </w:r>
          </w:p>
        </w:tc>
      </w:tr>
      <w:tr w:rsidR="00780A11" w:rsidRPr="00B924B5" w14:paraId="279ACF21" w14:textId="77777777" w:rsidTr="00297A43">
        <w:trPr>
          <w:trHeight w:val="684"/>
        </w:trPr>
        <w:tc>
          <w:tcPr>
            <w:tcW w:w="1848" w:type="dxa"/>
          </w:tcPr>
          <w:p w14:paraId="279ACF1F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LAC</w:t>
            </w:r>
          </w:p>
        </w:tc>
        <w:tc>
          <w:tcPr>
            <w:tcW w:w="7548" w:type="dxa"/>
          </w:tcPr>
          <w:p w14:paraId="279ACF20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лактат</w:t>
            </w:r>
            <w:proofErr w:type="spellEnd"/>
          </w:p>
        </w:tc>
      </w:tr>
      <w:tr w:rsidR="00780A11" w:rsidRPr="00B924B5" w14:paraId="279ACF24" w14:textId="77777777" w:rsidTr="00297A43">
        <w:trPr>
          <w:trHeight w:val="684"/>
        </w:trPr>
        <w:tc>
          <w:tcPr>
            <w:tcW w:w="1848" w:type="dxa"/>
          </w:tcPr>
          <w:p w14:paraId="279ACF22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МСН</w:t>
            </w:r>
          </w:p>
        </w:tc>
        <w:tc>
          <w:tcPr>
            <w:tcW w:w="7548" w:type="dxa"/>
          </w:tcPr>
          <w:p w14:paraId="279ACF23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среднее содержание гемоглобина в эритроците</w:t>
            </w:r>
          </w:p>
        </w:tc>
      </w:tr>
      <w:tr w:rsidR="00780A11" w:rsidRPr="00B924B5" w14:paraId="279ACF27" w14:textId="77777777" w:rsidTr="00297A43">
        <w:trPr>
          <w:trHeight w:val="684"/>
        </w:trPr>
        <w:tc>
          <w:tcPr>
            <w:tcW w:w="1848" w:type="dxa"/>
          </w:tcPr>
          <w:p w14:paraId="279ACF25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МСНС</w:t>
            </w:r>
          </w:p>
        </w:tc>
        <w:tc>
          <w:tcPr>
            <w:tcW w:w="7548" w:type="dxa"/>
          </w:tcPr>
          <w:p w14:paraId="279ACF26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средняя концентрация гемоглобина в эритроците</w:t>
            </w:r>
          </w:p>
        </w:tc>
      </w:tr>
      <w:tr w:rsidR="00780A11" w:rsidRPr="00B924B5" w14:paraId="279ACF2A" w14:textId="77777777" w:rsidTr="00297A43">
        <w:trPr>
          <w:trHeight w:val="684"/>
        </w:trPr>
        <w:tc>
          <w:tcPr>
            <w:tcW w:w="1848" w:type="dxa"/>
          </w:tcPr>
          <w:p w14:paraId="279ACF28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MCV</w:t>
            </w:r>
          </w:p>
        </w:tc>
        <w:tc>
          <w:tcPr>
            <w:tcW w:w="7548" w:type="dxa"/>
          </w:tcPr>
          <w:p w14:paraId="279ACF29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объем эритроцита</w:t>
            </w:r>
          </w:p>
        </w:tc>
      </w:tr>
      <w:tr w:rsidR="00780A11" w:rsidRPr="00B924B5" w14:paraId="279ACF2D" w14:textId="77777777" w:rsidTr="00297A43">
        <w:trPr>
          <w:trHeight w:val="684"/>
        </w:trPr>
        <w:tc>
          <w:tcPr>
            <w:tcW w:w="1848" w:type="dxa"/>
          </w:tcPr>
          <w:p w14:paraId="279ACF2B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NAD/NADH</w:t>
            </w:r>
          </w:p>
        </w:tc>
        <w:tc>
          <w:tcPr>
            <w:tcW w:w="7548" w:type="dxa"/>
          </w:tcPr>
          <w:p w14:paraId="279ACF2C" w14:textId="77777777" w:rsidR="00780A11" w:rsidRPr="00B924B5" w:rsidRDefault="00780A11" w:rsidP="00553A28">
            <w:pPr>
              <w:spacing w:after="0" w:line="36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окисленная и восстановленная форма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никотинамидадениндинуклеотида</w:t>
            </w:r>
            <w:proofErr w:type="spellEnd"/>
          </w:p>
        </w:tc>
      </w:tr>
      <w:tr w:rsidR="00780A11" w:rsidRPr="00B924B5" w14:paraId="279ACF30" w14:textId="77777777" w:rsidTr="00297A43">
        <w:trPr>
          <w:trHeight w:val="684"/>
        </w:trPr>
        <w:tc>
          <w:tcPr>
            <w:tcW w:w="1848" w:type="dxa"/>
          </w:tcPr>
          <w:p w14:paraId="279ACF2E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  <w:t>NADP</w:t>
            </w: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NADPH</w:t>
            </w:r>
          </w:p>
        </w:tc>
        <w:tc>
          <w:tcPr>
            <w:tcW w:w="7548" w:type="dxa"/>
          </w:tcPr>
          <w:p w14:paraId="279ACF2F" w14:textId="77777777" w:rsidR="00780A11" w:rsidRPr="00B924B5" w:rsidRDefault="00780A11" w:rsidP="00553A28">
            <w:pPr>
              <w:spacing w:after="0" w:line="360" w:lineRule="auto"/>
              <w:ind w:left="9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окисленная и восстановленная форма </w:t>
            </w:r>
            <w:proofErr w:type="spellStart"/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никотинамидадениндинуклеотидфосфата</w:t>
            </w:r>
            <w:proofErr w:type="spellEnd"/>
          </w:p>
        </w:tc>
      </w:tr>
      <w:tr w:rsidR="00780A11" w:rsidRPr="00B924B5" w14:paraId="279ACF33" w14:textId="77777777" w:rsidTr="00297A43">
        <w:trPr>
          <w:trHeight w:val="684"/>
        </w:trPr>
        <w:tc>
          <w:tcPr>
            <w:tcW w:w="1848" w:type="dxa"/>
          </w:tcPr>
          <w:p w14:paraId="279ACF31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  <w:t>NH</w:t>
            </w: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val="en-GB" w:eastAsia="ru-RU"/>
              </w:rPr>
              <w:t>4</w:t>
            </w: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en-GB" w:eastAsia="ru-RU"/>
              </w:rPr>
              <w:t>+</w:t>
            </w:r>
          </w:p>
        </w:tc>
        <w:tc>
          <w:tcPr>
            <w:tcW w:w="7548" w:type="dxa"/>
          </w:tcPr>
          <w:p w14:paraId="279ACF32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катион аммония</w:t>
            </w:r>
          </w:p>
        </w:tc>
      </w:tr>
      <w:tr w:rsidR="00780A11" w:rsidRPr="00B924B5" w14:paraId="279ACF36" w14:textId="77777777" w:rsidTr="00297A43">
        <w:trPr>
          <w:trHeight w:val="684"/>
        </w:trPr>
        <w:tc>
          <w:tcPr>
            <w:tcW w:w="1848" w:type="dxa"/>
          </w:tcPr>
          <w:p w14:paraId="279ACF34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ОДУ</w:t>
            </w:r>
          </w:p>
        </w:tc>
        <w:tc>
          <w:tcPr>
            <w:tcW w:w="7548" w:type="dxa"/>
          </w:tcPr>
          <w:p w14:paraId="279ACF35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обыкновенное дифференциальное уравнение</w:t>
            </w:r>
          </w:p>
        </w:tc>
      </w:tr>
      <w:tr w:rsidR="00780A11" w:rsidRPr="00B924B5" w14:paraId="279ACF39" w14:textId="77777777" w:rsidTr="00297A43">
        <w:trPr>
          <w:trHeight w:val="684"/>
        </w:trPr>
        <w:tc>
          <w:tcPr>
            <w:tcW w:w="1848" w:type="dxa"/>
          </w:tcPr>
          <w:p w14:paraId="279ACF37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6PGLDH</w:t>
            </w:r>
          </w:p>
        </w:tc>
        <w:tc>
          <w:tcPr>
            <w:tcW w:w="7548" w:type="dxa"/>
          </w:tcPr>
          <w:p w14:paraId="279ACF38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- 6-фосфоглюконатдегидрогеназа</w:t>
            </w:r>
          </w:p>
        </w:tc>
      </w:tr>
      <w:tr w:rsidR="00780A11" w:rsidRPr="00B924B5" w14:paraId="279ACF3C" w14:textId="77777777" w:rsidTr="00297A43">
        <w:trPr>
          <w:trHeight w:val="684"/>
        </w:trPr>
        <w:tc>
          <w:tcPr>
            <w:tcW w:w="1848" w:type="dxa"/>
          </w:tcPr>
          <w:p w14:paraId="279ACF3A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РРР</w:t>
            </w:r>
          </w:p>
        </w:tc>
        <w:tc>
          <w:tcPr>
            <w:tcW w:w="7548" w:type="dxa"/>
          </w:tcPr>
          <w:p w14:paraId="279ACF3B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пентозофосфатный путь</w:t>
            </w:r>
          </w:p>
        </w:tc>
      </w:tr>
      <w:tr w:rsidR="00780A11" w:rsidRPr="00B924B5" w14:paraId="279ACF3F" w14:textId="77777777" w:rsidTr="00297A43">
        <w:trPr>
          <w:trHeight w:val="684"/>
        </w:trPr>
        <w:tc>
          <w:tcPr>
            <w:tcW w:w="1848" w:type="dxa"/>
          </w:tcPr>
          <w:p w14:paraId="279ACF3D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ru-RU"/>
              </w:rPr>
              <w:t>PYR</w:t>
            </w:r>
          </w:p>
        </w:tc>
        <w:tc>
          <w:tcPr>
            <w:tcW w:w="7548" w:type="dxa"/>
          </w:tcPr>
          <w:p w14:paraId="279ACF3E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пируват</w:t>
            </w:r>
          </w:p>
        </w:tc>
      </w:tr>
      <w:tr w:rsidR="00780A11" w:rsidRPr="00B924B5" w14:paraId="279ACF42" w14:textId="77777777" w:rsidTr="00297A43">
        <w:trPr>
          <w:trHeight w:val="684"/>
        </w:trPr>
        <w:tc>
          <w:tcPr>
            <w:tcW w:w="1848" w:type="dxa"/>
          </w:tcPr>
          <w:p w14:paraId="279ACF40" w14:textId="77777777" w:rsidR="00780A11" w:rsidRPr="00B924B5" w:rsidRDefault="00780A11" w:rsidP="00553A2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ЭБР</w:t>
            </w:r>
          </w:p>
        </w:tc>
        <w:tc>
          <w:tcPr>
            <w:tcW w:w="7548" w:type="dxa"/>
          </w:tcPr>
          <w:p w14:paraId="279ACF41" w14:textId="77777777" w:rsidR="00780A11" w:rsidRPr="00B924B5" w:rsidRDefault="00780A11" w:rsidP="00553A28">
            <w:pPr>
              <w:spacing w:after="0" w:line="360" w:lineRule="auto"/>
              <w:ind w:left="9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эритроцит-биореактор</w:t>
            </w:r>
          </w:p>
        </w:tc>
      </w:tr>
    </w:tbl>
    <w:p w14:paraId="279ACF43" w14:textId="77777777" w:rsidR="00780A11" w:rsidRPr="00B924B5" w:rsidRDefault="00780A11" w:rsidP="00553A28">
      <w:pPr>
        <w:spacing w:after="0" w:line="360" w:lineRule="auto"/>
      </w:pPr>
    </w:p>
    <w:p w14:paraId="279ACF44" w14:textId="77777777" w:rsidR="00780A11" w:rsidRPr="00B924B5" w:rsidRDefault="00780A11">
      <w:r w:rsidRPr="00B924B5">
        <w:br w:type="page"/>
      </w:r>
    </w:p>
    <w:p w14:paraId="279ACF45" w14:textId="29C83EB3" w:rsidR="005E4F03" w:rsidRPr="00B924B5" w:rsidRDefault="005E4F03" w:rsidP="002148AB">
      <w:pPr>
        <w:pStyle w:val="1"/>
      </w:pPr>
      <w:bookmarkStart w:id="16" w:name="_Toc62813194"/>
      <w:bookmarkStart w:id="17" w:name="_Toc94790891"/>
      <w:r w:rsidRPr="00B924B5">
        <w:lastRenderedPageBreak/>
        <w:t>ВВЕДЕНИЕ</w:t>
      </w:r>
      <w:bookmarkEnd w:id="16"/>
      <w:bookmarkEnd w:id="17"/>
    </w:p>
    <w:p w14:paraId="279ACF46" w14:textId="77777777" w:rsidR="005E4F03" w:rsidRPr="00B924B5" w:rsidRDefault="005E4F03" w:rsidP="005E4F0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ACF47" w14:textId="77777777" w:rsidR="005E4F03" w:rsidRPr="00B924B5" w:rsidRDefault="005E4F03" w:rsidP="005E4F0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Одним из возможных путей доставки лекарств в организме является создание клеток-биореакторов. В клетки пациента, в первую очередь, в эритроциты, можно вводить разные вещества, а затем возвращать их пациенту с новой функцией. Особенно интересным является использование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эритроцитарных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биореакторов с включенными в них ферментами. Фермент внутри клеток способен работать при условии, что необходимые для этого субстраты реакции легко проникают через мембрану эритроцита. То же касается и продуктов реакции, которые не должны накапливаться внутри клеток. Находясь внутри эритроцита, фермент защищен от иммунной системы хозяина, а также от протеаз плазмы, которые способны его разрушить. Концентрация свободного фермента в плазме мала, поэтому он не вызывает сильных токсических воздействий на организм. </w:t>
      </w:r>
      <w:r w:rsidR="00A737BC" w:rsidRPr="00B924B5">
        <w:rPr>
          <w:rFonts w:ascii="Times New Roman" w:eastAsia="Times New Roman" w:hAnsi="Times New Roman" w:cs="Times New Roman"/>
          <w:sz w:val="24"/>
          <w:szCs w:val="24"/>
        </w:rPr>
        <w:t>В результате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время жизни препарата в крови увеличивается, а его токсичность и иммуногенность сильно уменьшаются. </w:t>
      </w:r>
      <w:r w:rsidR="006758B0" w:rsidRPr="00B924B5">
        <w:rPr>
          <w:rFonts w:ascii="Times New Roman" w:eastAsia="Times New Roman" w:hAnsi="Times New Roman" w:cs="Times New Roman"/>
          <w:sz w:val="24"/>
          <w:szCs w:val="24"/>
        </w:rPr>
        <w:t>Таким образом, новая лекарственная форма ферментов на основе эритроцитов обладает рядом существенных преимуществ по сравнению с прямым введением в кровоток растворов данных ферментов.</w:t>
      </w:r>
      <w:r w:rsidR="00925BB9" w:rsidRPr="00B924B5">
        <w:rPr>
          <w:rFonts w:ascii="Times New Roman" w:eastAsia="Times New Roman" w:hAnsi="Times New Roman" w:cs="Times New Roman"/>
          <w:sz w:val="24"/>
          <w:szCs w:val="24"/>
        </w:rPr>
        <w:t xml:space="preserve"> Это делает создание эритроцитов-биореакторов </w:t>
      </w:r>
      <w:r w:rsidR="00A737BC" w:rsidRPr="00B924B5">
        <w:rPr>
          <w:rFonts w:ascii="Times New Roman" w:eastAsia="Times New Roman" w:hAnsi="Times New Roman" w:cs="Times New Roman"/>
          <w:sz w:val="24"/>
          <w:szCs w:val="24"/>
        </w:rPr>
        <w:t>(ЭБР)</w:t>
      </w:r>
      <w:r w:rsidR="00925BB9" w:rsidRPr="00B924B5">
        <w:rPr>
          <w:rFonts w:ascii="Times New Roman" w:eastAsia="Times New Roman" w:hAnsi="Times New Roman" w:cs="Times New Roman"/>
          <w:sz w:val="24"/>
          <w:szCs w:val="24"/>
        </w:rPr>
        <w:t xml:space="preserve"> актуальным.</w:t>
      </w:r>
    </w:p>
    <w:p w14:paraId="279ACF48" w14:textId="77777777" w:rsidR="005E4F03" w:rsidRPr="00B924B5" w:rsidRDefault="005E4F03" w:rsidP="005E4F03">
      <w:pPr>
        <w:spacing w:before="120" w:after="12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Подобные биореакторы были предложены в качестве новой формы лекарственных препаратов уже в 70-х годах прошлого века, однако, несмотря на их очевидную привлекательность, в настоящее время существует только один такой препарат, который уже применяется в клинике – это фермент L-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аспарагиназа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Это связано с отсутствием эффективных методов, позволяющих рутинно включать препараты в эритроциты для клинического применения (т.е. в стерильных условиях и с достаточной эффективностью), отсутствием методов надежной оценки эффективности предлагаемых препаратов, основанных на теоретическом анализе этой эффективности с помощью математических моделей, а также </w:t>
      </w:r>
      <w:r w:rsidR="00B516B8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отсутствием систематических исследований факторов, которые могут влиять на эффективность работы создаваемых ЭБР Настоящий проект посвящен исследованию всех этих вопросов.</w:t>
      </w:r>
    </w:p>
    <w:p w14:paraId="279ACF49" w14:textId="77777777" w:rsidR="003B7B51" w:rsidRPr="00B924B5" w:rsidRDefault="005E4F03" w:rsidP="006758B0">
      <w:pPr>
        <w:spacing w:before="120" w:after="12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="006758B0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данной работе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мы планируем математическое моделирование эритроцитов-биореакторов и проведение трансляционных исследований в области создания </w:t>
      </w:r>
      <w:r w:rsidR="00A737BC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ЭБР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осуществляющих доставку необходимых ферментов в организм пациента, на примере ЭБР, убирающих из кровотока этанол или аммоний. Кроме того, планируется создание автоматической установки для получения ЭБР с помощью метода проточного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гипоосмотического диализа и создание с помощью данной установки ЭБР, содержащих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L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аспарагиназу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пригодных для клинического применения.</w:t>
      </w:r>
      <w:r w:rsidR="003B7B51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279ACF4A" w14:textId="77777777" w:rsidR="003B7B51" w:rsidRPr="00B924B5" w:rsidRDefault="003B7B51" w:rsidP="003B7B51">
      <w:pPr>
        <w:spacing w:before="120" w:after="12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Включение данных препаратов в эритроциты (создание эритроцитов-биореакторов для утилизации аммония, этанола или аспарагина) может решить ряд медицинских проблем. Например, проблему снижения уровня аммиака (одного из главных нейротоксинов естественного происхождения в организме млекопитающих). Эта проблема далека от решения как в практическом, так и в фундаментальном аспектах. До сих пор нет ни одного препарата (антидота), обладающего способностью </w:t>
      </w:r>
      <w:r w:rsidR="00B516B8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быстро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удалять высокие концентрации аммиака из крови. Включение в эритроциты аммиак-утилизирующих ферментов может стать решением как быстрой детоксикации острых состояний, так и лечения умеренной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гипераммонемии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печеночной энцефалопатии у больных с нарушениями функции печени. Так же актуальна проблема иммуногенности L-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аспарагиназы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химиотерапевтического препарата для лечения острых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лимфобластных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лейкозов. Для поддержания терапевтического уровня лекарства в крови препарат приходится вводить часто и в высоких дозах, что вызывает токсические эффекты и развитие сильного иммунного ответа на чужеродный белок. Включение L-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аспарагиназы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эритроциты позволяет решить все эти проблемы. Проблема алкогольной интоксикации и отравлений ацетальдегидом – токсическим продуктом метаболизма этанола, актуальна для людей с низкой активностью ацетальдегид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дегдрогеназы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отсутствием митохондриальной формы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альдегиддегидрогеназы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низким значением константы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Михаэлиса</w:t>
      </w:r>
      <w:proofErr w:type="spellEnd"/>
      <w:r w:rsidR="00B516B8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для людей с алкогольной болезнью печени.</w:t>
      </w:r>
    </w:p>
    <w:p w14:paraId="279ACF4B" w14:textId="77777777" w:rsidR="003B7B51" w:rsidRPr="00B924B5" w:rsidRDefault="00B516B8" w:rsidP="006758B0">
      <w:pPr>
        <w:spacing w:before="120" w:after="12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Таким образом, решение проблем получения стерильных препаратов ЭБР, с высокой эффективностью включенных ферментов, исследование факторов, влияющих на эту эффективность и исследование свойств получаемых ЭБР, должны способствовать </w:t>
      </w:r>
      <w:r w:rsidR="00E62577"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созданию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ЭБР, имеющих потенциал клинического применения. </w:t>
      </w:r>
    </w:p>
    <w:p w14:paraId="279ACF4C" w14:textId="77777777" w:rsidR="00780A11" w:rsidRPr="00B924B5" w:rsidRDefault="00780A11" w:rsidP="006758B0">
      <w:pPr>
        <w:spacing w:before="120" w:after="120" w:line="360" w:lineRule="auto"/>
        <w:ind w:firstLine="709"/>
        <w:jc w:val="both"/>
      </w:pPr>
      <w:r w:rsidRPr="00B924B5">
        <w:br w:type="page"/>
      </w:r>
    </w:p>
    <w:p w14:paraId="279ACF4D" w14:textId="77777777" w:rsidR="00CD149B" w:rsidRPr="00B924B5" w:rsidRDefault="00CD149B" w:rsidP="002148AB">
      <w:pPr>
        <w:pStyle w:val="1"/>
      </w:pPr>
      <w:bookmarkStart w:id="18" w:name="_Toc94790892"/>
      <w:r w:rsidRPr="00B924B5">
        <w:lastRenderedPageBreak/>
        <w:t>ОСНОВНАЯ ЧАСТЬ</w:t>
      </w:r>
      <w:bookmarkEnd w:id="11"/>
      <w:bookmarkEnd w:id="12"/>
      <w:bookmarkEnd w:id="13"/>
      <w:bookmarkEnd w:id="14"/>
      <w:bookmarkEnd w:id="18"/>
    </w:p>
    <w:p w14:paraId="279ACF4E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F4F" w14:textId="77777777" w:rsidR="00CD149B" w:rsidRPr="00B924B5" w:rsidRDefault="00CD149B" w:rsidP="00553A28">
      <w:pPr>
        <w:keepNext/>
        <w:keepLines/>
        <w:spacing w:after="0" w:line="360" w:lineRule="auto"/>
        <w:ind w:left="1069" w:hanging="360"/>
        <w:contextualSpacing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9" w:name="_Toc30515997"/>
      <w:bookmarkStart w:id="20" w:name="_Toc94790893"/>
      <w:r w:rsidRPr="00B924B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B924B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148AB">
        <w:rPr>
          <w:rStyle w:val="20"/>
          <w:rFonts w:eastAsiaTheme="minorHAnsi"/>
        </w:rPr>
        <w:t>Создание теоретической модели эритроцитов-биореакторов (ЭБР), способных удалять из крови этанол и ацетальдегид</w:t>
      </w:r>
      <w:bookmarkEnd w:id="19"/>
      <w:bookmarkEnd w:id="20"/>
    </w:p>
    <w:p w14:paraId="279ACF50" w14:textId="77777777" w:rsidR="00CD149B" w:rsidRPr="00B924B5" w:rsidRDefault="00CD149B" w:rsidP="00553A28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9ACF51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Целью первой части данной работы являлось создание теоретической модели эритроцитов-биореакторов (ЭБР), способных удалять из крови этанол и ацетальдегид (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алкоцитов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), представляющих собой эритроциты, в которые включены два фермента – алкогольдегидрогеназа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ацетальдегиддегидрогеназа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(реакции (1) и (2), соответственно), и исследование с ее помощью факторов, ограничивающих эффективность таких ЭБР. </w:t>
      </w:r>
    </w:p>
    <w:p w14:paraId="279ACF52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F53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val="en-US" w:eastAsia="ru-RU"/>
          </w:rPr>
          <m:t>ADH</m:t>
        </m:r>
        <m:r>
          <w:rPr>
            <w:rFonts w:ascii="Cambria Math" w:eastAsia="Calibri" w:hAnsi="Cambria Math" w:cs="Times New Roman"/>
            <w:sz w:val="24"/>
            <w:szCs w:val="24"/>
            <w:lang w:eastAsia="ru-RU"/>
          </w:rPr>
          <m:t>:          ETH+NAD↔ACALD+NADH</m:t>
        </m:r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(1),</w:t>
      </w:r>
    </w:p>
    <w:p w14:paraId="279ACF54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ALDH:          ACALD+NAD→ACT+NADH</m:t>
        </m:r>
      </m:oMath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(2),</w:t>
      </w:r>
    </w:p>
    <w:p w14:paraId="279ACF55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56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ETH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этанол,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ACALD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ацетальдегид,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АСТ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ацетат, а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окисленная и восстановленная форма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никотинамидадениндинуклеотида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соответственно.</w:t>
      </w:r>
    </w:p>
    <w:p w14:paraId="279ACF57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Реакции гликолиза и встроенных ферментов пересекаются на уровне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поэтому для исследования влияния встраиваемой системы на метаболизм эритроцита в модели необходимо рассматривать все эти реакции совместно. Общая схема метаболизма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алкоцита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включающая реакции гликолиза и реакции встроенных ферментов, представлена на Рисунке 1. </w:t>
      </w:r>
    </w:p>
    <w:p w14:paraId="279ACF58" w14:textId="77777777" w:rsidR="00CD149B" w:rsidRPr="00B924B5" w:rsidRDefault="00CD149B" w:rsidP="00553A28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Созданная в работе математическая модель представляла собой систему из 17 обыкновенных дифференциальных уравнений (ОДУ) первого порядка, описывающих динамику внутриклеточных концентраций этанола, ацетальдегида, ацетата и метаболитов гликолиза. Уравнения, описывающие гликолиз, были взяты из работы [1]; а уравнения, описывающие встраиваемую систему - из работы [2]. Основные допущения модели, касающиеся гликолиза, совпадали с допущениями, принятыми в работ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t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[1]. Они были дополнены условиями, касающимися этанола, ацетальдегида и ацетата. Коротко, эти допущения были следующие: </w:t>
      </w:r>
    </w:p>
    <w:p w14:paraId="279ACF59" w14:textId="77777777" w:rsidR="00CD149B" w:rsidRPr="00B924B5" w:rsidRDefault="00CD149B" w:rsidP="00553A28">
      <w:pPr>
        <w:numPr>
          <w:ilvl w:val="0"/>
          <w:numId w:val="1"/>
        </w:numPr>
        <w:tabs>
          <w:tab w:val="left" w:pos="993"/>
        </w:tabs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Скорость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</w:rPr>
        <w:t>гексокиназной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реакции не зависит от концентрации глюкозы, т.к. физиологическая концентрация глюкозы в десятки раз выше константы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</w:rPr>
        <w:t>Михаэлиса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</w:rPr>
        <w:t>гексокиназы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по отношению к глюкозе [3].</w:t>
      </w:r>
    </w:p>
    <w:p w14:paraId="279ACF5A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F5B" w14:textId="77777777" w:rsidR="00CD149B" w:rsidRPr="00B924B5" w:rsidRDefault="00CD149B" w:rsidP="00553A28">
      <w:pPr>
        <w:spacing w:line="360" w:lineRule="auto"/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AD199" wp14:editId="279AD19A">
            <wp:extent cx="5511800" cy="462567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062" cy="464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CF5C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Рисунок 1. Схема реакций, входящих в модель </w:t>
      </w:r>
      <w:proofErr w:type="spellStart"/>
      <w:r w:rsidRPr="00B92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алкоцита</w:t>
      </w:r>
      <w:proofErr w:type="spellEnd"/>
      <w:r w:rsidRPr="00B92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Часть, соответствующая встраиваемой системе ферментов обведена синей рамкой. Использованы следующие обозначения: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GLC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глюкоза;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глюкозо-6-фосфат;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фруктозо-6-фосфат;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фруктозо-1,6-дифосфат;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дигидроксиацетонфосфат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глицеральдегидфосфат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; 1,3-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DPG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1,3-дифосфоглицерат; 2,3-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DPG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2,3-дифосфоглицерат; 3-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PG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3-фосфоглицерат; 2-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PG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2-фосфоглицерат;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фосфоенолпируват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PYR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пируват;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LAC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лактат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окисленная и восстановленная форма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никотинамидадениндинуклеотида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соответственно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GLU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глутаминовая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AKG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α-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кетоглутарат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ALA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аланин;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аденозинтрифосфат;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аденозиндифосфат; </w:t>
      </w:r>
      <w:r w:rsidRPr="00B924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аденозинмонофосфат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ион неорганического фосфата;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Ethanol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этанол;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ACALD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ацетальдегид;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ACT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ацетат;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HK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гексокиназа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GPI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глюкозо-6-фосфатизомераза;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PFK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фосфофруктокиназа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альдолаза;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TPI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триозофосфатизомераза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глицеральдегидфосфатдегидрогеназа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PGK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фосфоглицераткиназа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PGM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фосфоглицератмутаза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ENO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Энолаза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PK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пируваткиназа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LDH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лактатдегидрогеназа;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алкогольдегидрогеназа;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ацетальдегиддегидрогеназа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9ACF5D" w14:textId="77777777" w:rsidR="00CD149B" w:rsidRPr="00B924B5" w:rsidRDefault="00CD149B" w:rsidP="00553A28">
      <w:pPr>
        <w:spacing w:line="360" w:lineRule="auto"/>
      </w:pPr>
    </w:p>
    <w:p w14:paraId="279ACF5E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24B5">
        <w:rPr>
          <w:rFonts w:ascii="Times New Roman" w:eastAsia="Calibri" w:hAnsi="Times New Roman" w:cs="Times New Roman"/>
          <w:sz w:val="24"/>
          <w:szCs w:val="24"/>
        </w:rPr>
        <w:t>2.</w:t>
      </w:r>
      <w:r w:rsidRPr="00B924B5">
        <w:rPr>
          <w:rFonts w:ascii="Times New Roman" w:eastAsia="Calibri" w:hAnsi="Times New Roman" w:cs="Times New Roman"/>
          <w:sz w:val="24"/>
          <w:szCs w:val="24"/>
        </w:rPr>
        <w:tab/>
        <w:t xml:space="preserve">Мембрана эритроцита непроницаема для всех метаболитов гликолиза кроме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</w:rPr>
        <w:t>лактата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и пирувата. При этом скорость транспорта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</w:rPr>
        <w:t>лактата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и пирувата пропорциональна градиентам концентраций этих метаболитов внутри и снаружи клетки [4,5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</w:rPr>
        <w:t>]. Транспор</w:t>
      </w:r>
      <w:r w:rsidR="00553A28" w:rsidRPr="00B924B5">
        <w:rPr>
          <w:rFonts w:ascii="Times New Roman" w:eastAsia="Times New Roman" w:hAnsi="Times New Roman" w:cs="Times New Roman"/>
          <w:noProof/>
          <w:sz w:val="24"/>
          <w:szCs w:val="24"/>
        </w:rPr>
        <w:t>т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метаболитов встраиваемых реакций - этанола, ацетальдегида и ацетата, достаточно быстр (проницаемость мембраны эритроцита для этих веществ очень велика), поэтому концентрации этих метаболитов внутри и снаружи эритроцита находятся в равновесии в любой момент времени [6,7]. </w:t>
      </w:r>
    </w:p>
    <w:p w14:paraId="279ACF5F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24B5">
        <w:rPr>
          <w:rFonts w:ascii="Times New Roman" w:eastAsia="Calibri" w:hAnsi="Times New Roman" w:cs="Times New Roman"/>
          <w:sz w:val="24"/>
          <w:szCs w:val="24"/>
        </w:rPr>
        <w:t>3.</w:t>
      </w:r>
      <w:r w:rsidRPr="00B924B5">
        <w:rPr>
          <w:rFonts w:ascii="Times New Roman" w:eastAsia="Calibri" w:hAnsi="Times New Roman" w:cs="Times New Roman"/>
          <w:sz w:val="24"/>
          <w:szCs w:val="24"/>
        </w:rPr>
        <w:tab/>
        <w:t xml:space="preserve">Объем эритроцитов, а также пулы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</w:rPr>
        <w:t>аденилатов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</w:rPr>
        <w:t>никотинамидадениндинуклеотидов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считали постоянными [1].</w:t>
      </w:r>
    </w:p>
    <w:p w14:paraId="279ACF60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24B5">
        <w:rPr>
          <w:rFonts w:ascii="Times New Roman" w:eastAsia="Calibri" w:hAnsi="Times New Roman" w:cs="Times New Roman"/>
          <w:sz w:val="24"/>
          <w:szCs w:val="24"/>
        </w:rPr>
        <w:t>4.</w:t>
      </w:r>
      <w:r w:rsidRPr="00B924B5">
        <w:rPr>
          <w:rFonts w:ascii="Times New Roman" w:eastAsia="Calibri" w:hAnsi="Times New Roman" w:cs="Times New Roman"/>
          <w:sz w:val="24"/>
          <w:szCs w:val="24"/>
        </w:rPr>
        <w:tab/>
        <w:t>Влияние трансмембранных потенциалов на транспорт метаболитов не учитывали.</w:t>
      </w:r>
    </w:p>
    <w:p w14:paraId="279ACF61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качестве начальных условий для решения системы ОДУ (методом Рунге-Кутта 4-5 порядка в программе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MATLAB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были использованы концентрации метаболитов гликолиза, соответствующие стационарному состоянию гликолиза в физиологических условиях. </w:t>
      </w:r>
    </w:p>
    <w:p w14:paraId="279ACF62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Транспорт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лактата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пирувата сквозь мембрану описывали линейным соотношением (3):</w:t>
      </w:r>
    </w:p>
    <w:p w14:paraId="279ACF63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diffA</w:t>
      </w:r>
      <w:proofErr w:type="spellEnd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=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 w:eastAsia="ru-RU"/>
        </w:rPr>
        <w:t>A</w:t>
      </w:r>
      <w:proofErr w:type="spellEnd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([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]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int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 xml:space="preserve"> –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[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]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ext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)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  <w:t xml:space="preserve">(3), </w:t>
      </w:r>
    </w:p>
    <w:p w14:paraId="279ACF64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diffA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скорость транспорта метаболита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сквозь мембрану; [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]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int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концентрация метаболита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клетке; [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]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ext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концентрация метаболита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 внешней среде (плазме крови); 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 w:eastAsia="ru-RU"/>
        </w:rPr>
        <w:t>A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проницаемость мембраны для метаболита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79ACF65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Концентрации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лактата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пирувата во внешней среде считали постоянными ([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PYR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]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ext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=0.07 м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[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LAC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]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ext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=1.2 м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Проницаемости для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лактата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пирувата составляли 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 w:eastAsia="ru-RU"/>
        </w:rPr>
        <w:t>PYR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=60 ч</w:t>
      </w:r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-1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d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 w:eastAsia="ru-RU"/>
        </w:rPr>
        <w:t>LAC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=12 ч</w:t>
      </w:r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-1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(оценено из [5]). Система для расчета кинетики концентраций метаболитов в гликолизе при фиксированной стационарной концентрации NAD была получена из исходной путем приравнивания правой части ОДУ для NAD (т.е. разности скоростей его производства и потребления) к 0. Решение полной системы уравнений показало, что такая система способна утилизировать этанол (Рисунок 2).</w:t>
      </w:r>
    </w:p>
    <w:p w14:paraId="279ACF66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исследования долгосрочного поведения системы, мы предположили, что все реакции системы на длительных временах должны проходить в стационарном режиме,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поэтому входящие в модель уравнения для изменения концентраций метаболитов гликолиза были модифицированы путем приравнивания их правых частей к нулю. Это соответствует ситуации при постоянной концентрации этанола в системе. При этом исключается влияние концентрации этанола на скорости целевых реакций, что позволяет оценить эффекты, связанные со свойствами самой метаболической системы.</w:t>
      </w:r>
    </w:p>
    <w:p w14:paraId="279ACF67" w14:textId="77777777" w:rsidR="00CD149B" w:rsidRPr="00B924B5" w:rsidRDefault="00CD149B" w:rsidP="00553A28">
      <w:pPr>
        <w:spacing w:line="360" w:lineRule="auto"/>
      </w:pPr>
    </w:p>
    <w:p w14:paraId="279ACF68" w14:textId="77777777" w:rsidR="00CD149B" w:rsidRPr="00B924B5" w:rsidRDefault="00CD149B" w:rsidP="000E5FD2">
      <w:pPr>
        <w:spacing w:line="360" w:lineRule="auto"/>
        <w:jc w:val="center"/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AD19B" wp14:editId="279AD19C">
            <wp:extent cx="3098466" cy="231775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64" cy="23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CF69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Рисунок 2.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Рассчитанная с помощью модели кинетика убыли этанола в присутствии эритроцитов-биореакторов, включающих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Активности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использованные при расчете, были одинаковы и составляли 60 ммоль/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ч×л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что соответствует 1 МЕ/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-тов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Начальные концентрации всех метаболитов гликолиза в расчете соответствовали стационарным концентрациям этих метаболитов в гликолизе при физиологических условиях. Исходная концентрация этанола составляла 10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79ACF6A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F6B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Было показано, что при равных активностях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превышающих 60 ммоль/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ч×л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система сохраняет стационарное состояние гликолиза. При повышении активности включенных в эритроцит ферментов отношение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) падает тем больше, чем выше активности включенных в эритроциты ферментов (Рисунок 3а). При активностях, превышающих 60 ммоль/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ч×л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отношение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) падает ниже 0.8. При этом стационарное состояние в гликолизе исчезает, начинается накопление таких метаболитов, как фруктозо-1,6-дифосфата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(Рисунок 3б),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диоксиацетонфосфата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DAP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глицеральдегидфосфата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GAP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а также резкое падение уровня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ATP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(Рисунок 3в).</w:t>
      </w:r>
    </w:p>
    <w:p w14:paraId="279ACF6C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Поскольку единственные метаболиты, общие для гликолиза и этанол-потребляющей системы – это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вероятной причиной потери стационара является снижение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стационарной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наблюдаемое при повышении активностей ферментов встроенной системы (Рисунки 3а и 4). Расчеты показали, что потеря стационарного состояния в гликолизе происходит при снижении величины отношения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ниже 0.8. В случае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такое снижение достигается при активностях включенных ферментов выше 60 ммоль/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ч×л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14:paraId="279ACF6D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F6E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F6F" w14:textId="77777777" w:rsidR="00CD149B" w:rsidRPr="00B924B5" w:rsidRDefault="00CD149B" w:rsidP="000E5FD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9AD19D" wp14:editId="279AD19E">
            <wp:extent cx="5930900" cy="271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CF70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Рисунок 3.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Изменение отношения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(а), а также кинетика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(б) и АТР (в) при различных активностях включенных в эритроциты ферментов, утилизирующих этанол. Активности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были одинаковы и равны 60 ммоль/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ч×л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(синие кривые), 120 ммоль/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ч×л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(красные кривые) и 240 ммоль/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ч×л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(зеленые кривые). Концентрации всех метаболитов гликолиза соответствовали физиологическим условиям. Концентрацию этанола считали постоянной и равной 10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79ACF71" w14:textId="77777777" w:rsidR="00CD149B" w:rsidRPr="00B924B5" w:rsidRDefault="00CD149B" w:rsidP="000E5FD2">
      <w:pPr>
        <w:spacing w:line="360" w:lineRule="auto"/>
        <w:jc w:val="center"/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AD19F" wp14:editId="279AD1A0">
            <wp:extent cx="3206750" cy="23904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2" cy="241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CF72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Рисунок 4.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Зависимость отношения стационарной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общему пулу концентраций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в системе от активности ферментов встраиваемой системы. Расчеты сделаны для различных стационарных концентраций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соответствующих определенным отношениям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Активности обоих ферментов при расчете полагали равными. Концентрация этанола постоянна и равна 10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79ACF73" w14:textId="77777777" w:rsidR="00CD149B" w:rsidRPr="00B924B5" w:rsidRDefault="00CD149B" w:rsidP="00553A28">
      <w:pPr>
        <w:spacing w:line="360" w:lineRule="auto"/>
      </w:pPr>
    </w:p>
    <w:p w14:paraId="279ACF74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Если рассчитать зависимость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клетке через 15 часов работы системы от активности встроенных ферментов (для случая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алкоцитов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равными, но разными по величине активностями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(Рисунок 5а), а также соответствующую зависимость (через 15 часов работы) для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эритроците без встроенных ферментов, но с различными искусственно заданными стационарными отношениями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(такие зависимости были получены из решения системы уравнений, описывающей гликолиз, в которой правая часть уравнения для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приравнена к нулю при различных начальных концентрациях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(Рисунок 5б), то хорошо видно, что быстрое увеличение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обоих случаях до максимума, которое соответствует потере стационарного состояния в гликолизе, происходит при активностях встроенных ферментов &gt;60 ммоль/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ч×л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при отношении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около 0.8. Аналогичная картина наблюдалась и для других метаболитов гликолиза, которые накапливаются в системе после потери стационарного состояния, таких как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DAP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Это подтверждает высказанное выше предположение о том, что причиной потери стационарности в гликолизе является снижение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ниже определенного уровня (0.04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14:paraId="279ACF75" w14:textId="77777777" w:rsidR="00CD149B" w:rsidRPr="00B924B5" w:rsidRDefault="00CD149B" w:rsidP="000E5FD2">
      <w:pPr>
        <w:spacing w:line="360" w:lineRule="auto"/>
        <w:jc w:val="center"/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9AD1A1" wp14:editId="279AD1A2">
            <wp:extent cx="4937760" cy="31085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80" cy="31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CF76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Рисунок 5.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клетках в зависимости от активностей встроенных ферментов или доли стационарной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общем пуле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никотинамидадениндинуклеотидов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(а) - Зависимость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алкоците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через 15 часов работы системы от активностей встроенных ферментов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); (б) - зависимость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(после 15 часов инкубации) в эритроците без этанол-потребляющей системы от искусственно заданного в модели стационарного отношения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14:paraId="279ACF77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F78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Единственное звено гликолиза, на которое концентрация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может влиять прямо это реакция превращения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GAP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1,3-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DPG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катализируемая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глицеральдегидфосфатдегидрогеназой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GAPDH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) (4):</w:t>
      </w:r>
    </w:p>
    <w:p w14:paraId="279ACF79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CF7A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GAPDH: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ab/>
        <w:t>GAP + PO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US" w:eastAsia="ru-RU"/>
        </w:rPr>
        <w:t>4</w:t>
      </w:r>
      <w:r w:rsidRPr="00B924B5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 w:eastAsia="ru-RU"/>
        </w:rPr>
        <w:t>-3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 xml:space="preserve"> +NAD ↔ 1,3-DPG + NADH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ab/>
        <w:t>(4).</w:t>
      </w:r>
    </w:p>
    <w:p w14:paraId="279ACF7B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14:paraId="279ACF7C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снижении концентрации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скорость этой реакции снижается, что может стать вероятной предпосылкой потери стационара, поскольку скорость реакций верхней части гликолиза лимитируется скоростью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фофофруктокиназной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реакции, которая не зависит от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 регулируется другими параметрами (в частности, концентрациями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ATP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AMP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</w:t>
      </w:r>
    </w:p>
    <w:p w14:paraId="279ACF7D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лучшего понимания условий потери стационара в реакции, катализируемой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GAPDH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рассмотрим упрощенную метаболическую систему, состоящую из одной этой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реакции. Поскольку скорость реакций, обеспечивающих поступление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глицеральдегида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GAP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в систему</w:t>
      </w:r>
      <w:proofErr w:type="gram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регулируется факторами, не связанными с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положим, что он производится с постоянной скоростью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GAP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)</m:t>
        </m:r>
      </m:oMath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Поскольку концентрация 1,3-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DPG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близких к физиологическим низка и составляет примерно 0.6-0.45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мкмоль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эр-тов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зависимость скорости его потребления от его концентрации в клетке далека от насыщения и может считаться в этой области концентраций линейной, т.е. </w:t>
      </w:r>
    </w:p>
    <w:p w14:paraId="279ACF7E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7F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1,3-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DPG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α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[1,3-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DPG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]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(5).</w:t>
      </w:r>
    </w:p>
    <w:p w14:paraId="279ACF80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81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Рисунке 6 представлена выделенная часть системы гликолиза, описывающая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реакцию. Редуцированная система включает в себя одну реакцию GAPDH и описывается системой из двух ОДУ:</w:t>
      </w:r>
    </w:p>
    <w:p w14:paraId="279ACF82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83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d[GAP]/dt = V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- V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(6),</w:t>
      </w:r>
    </w:p>
    <w:p w14:paraId="279ACF84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d[1,3-DPG]/dt = V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– α[1,3-DPG]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(7),</w:t>
      </w:r>
    </w:p>
    <w:p w14:paraId="279ACF85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79ACF86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где </w:t>
      </w:r>
      <w:r w:rsidRPr="00B924B5">
        <w:rPr>
          <w:rFonts w:ascii="Times New Roman" w:eastAsia="Calibri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B924B5">
        <w:rPr>
          <w:rFonts w:ascii="Times New Roman" w:eastAsia="Calibri" w:hAnsi="Times New Roman" w:cs="Times New Roman"/>
          <w:i/>
          <w:noProof/>
          <w:sz w:val="24"/>
          <w:szCs w:val="24"/>
          <w:vertAlign w:val="subscript"/>
          <w:lang w:val="en-US" w:eastAsia="ru-RU"/>
        </w:rPr>
        <w:t>GAP</w:t>
      </w: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– это скорость поступления </w:t>
      </w:r>
      <w:r w:rsidRPr="00B924B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>GAP</w:t>
      </w: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в систему, а </w:t>
      </w:r>
      <w:r w:rsidRPr="00B924B5">
        <w:rPr>
          <w:rFonts w:ascii="Times New Roman" w:eastAsia="Calibri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B924B5">
        <w:rPr>
          <w:rFonts w:ascii="Times New Roman" w:eastAsia="Calibri" w:hAnsi="Times New Roman" w:cs="Times New Roman"/>
          <w:i/>
          <w:noProof/>
          <w:sz w:val="24"/>
          <w:szCs w:val="24"/>
          <w:vertAlign w:val="subscript"/>
          <w:lang w:eastAsia="ru-RU"/>
        </w:rPr>
        <w:t>GAPDH</w:t>
      </w: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–скорость глицеральдегиддегидрогеназной реакции.</w:t>
      </w:r>
    </w:p>
    <w:p w14:paraId="279ACF87" w14:textId="77777777" w:rsidR="00CD149B" w:rsidRPr="00B924B5" w:rsidRDefault="00CD149B" w:rsidP="00553A28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Скорость </w:t>
      </w:r>
      <w:r w:rsidRPr="00B924B5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t>GAPDH</w:t>
      </w: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реакции описывается следующим уравнением (8): </w:t>
      </w:r>
    </w:p>
    <w:p w14:paraId="279ACF88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89" w14:textId="77777777" w:rsidR="00CD149B" w:rsidRPr="00B924B5" w:rsidRDefault="00CD149B" w:rsidP="000E5FD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AD1A3" wp14:editId="279AD1A4">
            <wp:extent cx="2851150" cy="28511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CF8A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Рисунок 6. 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Редуцированная схема процесса для анализа поведения стационарного состояния в гликолизе при изменении концентрации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9ACF8B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Заполненные стрелки указывают преимущественное направление процесса при физиологических условиях</w:t>
      </w:r>
    </w:p>
    <w:p w14:paraId="279ACF8C" w14:textId="77777777" w:rsidR="00CD149B" w:rsidRPr="00B924B5" w:rsidRDefault="00CD149B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ACF8D" w14:textId="77777777" w:rsidR="00CD149B" w:rsidRPr="00B924B5" w:rsidRDefault="001A5224" w:rsidP="00553A28">
      <w:pPr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 w:eastAsia="ru-RU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GAPDH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  <w:lang w:eastAsia="ru-RU"/>
          </w:rPr>
          <m:t>=A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(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GAP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NAD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1,3DPG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NADH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GAPDH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4</m:t>
                    </m:r>
                  </m:sup>
                </m:sSubSup>
              </m:den>
            </m:f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)/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1.29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[GAP]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GAPDH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p>
                    </m:sSubSup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[1,3DPG]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GAPDH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5</m:t>
                        </m:r>
                      </m:sup>
                    </m:sSubSup>
                  </m:den>
                </m:f>
              </m:e>
            </m:d>
            <m:d>
              <m:d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1+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[NAD]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GAPDH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eastAsia="ru-RU"/>
                      </w:rPr>
                      <m:t>[NADH]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GAPDH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eastAsia="ru-RU"/>
                          </w:rPr>
                          <m:t>6</m:t>
                        </m:r>
                      </m:sup>
                    </m:sSubSup>
                  </m:den>
                </m:f>
              </m:e>
            </m:d>
          </m:den>
        </m:f>
      </m:oMath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(8),</w:t>
      </w:r>
    </w:p>
    <w:p w14:paraId="279ACF8E" w14:textId="77777777" w:rsidR="00CD149B" w:rsidRPr="00B924B5" w:rsidRDefault="00CD149B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ACF8F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=690 </w:t>
      </w:r>
      <w:proofErr w:type="spellStart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/ч;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1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=0.13 </w:t>
      </w:r>
      <w:proofErr w:type="spellStart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=0.13 </w:t>
      </w:r>
      <w:proofErr w:type="spellStart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3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=3.4 </w:t>
      </w:r>
      <w:proofErr w:type="spellStart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4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=0.136 мМ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-1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5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=0.013 </w:t>
      </w:r>
      <w:proofErr w:type="spellStart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6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=0.002 </w:t>
      </w:r>
      <w:proofErr w:type="spellStart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Pi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неогранический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фосфат)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=0.5 </w:t>
      </w:r>
      <w:proofErr w:type="spellStart"/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79ACF90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91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дальнейшего анализа преобразуем уравнение (8), вводя следующие обозначения:</w:t>
      </w:r>
    </w:p>
    <w:p w14:paraId="279ACF92" w14:textId="77777777" w:rsidR="00CD149B" w:rsidRPr="00B924B5" w:rsidRDefault="00CD149B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ACF93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>m</m:t>
        </m:r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=1.29; </m:t>
        </m:r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A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i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p>
            </m:sSubSup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p>
            </m:sSubSup>
          </m:den>
        </m:f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A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p>
            </m:sSubSup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p>
            </m:sSubSup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4</m:t>
                </m:r>
              </m:sup>
            </m:sSubSup>
          </m:den>
        </m:f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m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p>
            </m:sSubSup>
          </m:den>
        </m:f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m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5</m:t>
                </m:r>
              </m:sup>
            </m:sSubSup>
          </m:den>
        </m:f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5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bSup>
          </m:den>
        </m:f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6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GAPDH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6</m:t>
                </m:r>
              </m:sup>
            </m:sSubSup>
          </m:den>
        </m:f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γ=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[NAD]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NAD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+[NADH]</m:t>
            </m:r>
          </m:den>
        </m:f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NAD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+[NADH]</m:t>
        </m:r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GAP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ru-RU"/>
          </w:rPr>
          <m:t>y</m:t>
        </m:r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1,3-DPG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=x</m:t>
        </m:r>
      </m:oMath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 также: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NAD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γ</m:t>
        </m:r>
      </m:oMath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NADH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(1-γ)</m:t>
        </m:r>
      </m:oMath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79ACF94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279ACF95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Тогда уравнение скорости приобретает вид:</w:t>
      </w:r>
    </w:p>
    <w:p w14:paraId="279ACF96" w14:textId="77777777" w:rsidR="00CD149B" w:rsidRPr="00B924B5" w:rsidRDefault="00CD149B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ACF97" w14:textId="77777777" w:rsidR="00CD149B" w:rsidRPr="00B924B5" w:rsidRDefault="001A5224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 w:eastAsia="ru-RU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GAPDH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γy-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(1-γ)x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(m+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b>
            </m:s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y+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4</m:t>
                </m:r>
              </m:sub>
            </m:s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x)(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1+a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γ+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(1-γ))</m:t>
            </m:r>
          </m:den>
        </m:f>
      </m:oMath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(9).</w:t>
      </w:r>
    </w:p>
    <w:p w14:paraId="279ACF98" w14:textId="77777777" w:rsidR="00CD149B" w:rsidRPr="00B924B5" w:rsidRDefault="00CD149B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ACF99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сокращения некоторых дальнейших расчетов введем также обозначение:</w:t>
      </w:r>
    </w:p>
    <w:p w14:paraId="279ACF9A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9B" w14:textId="77777777" w:rsidR="00CD149B" w:rsidRPr="00B924B5" w:rsidRDefault="001A5224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1+a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5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  <w:lang w:eastAsia="ru-RU"/>
          </w:rPr>
          <m:t>γ+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a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6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c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m:t>1-γ</m:t>
            </m:r>
          </m:e>
        </m:d>
        <m:r>
          <w:rPr>
            <w:rFonts w:ascii="Cambria Math" w:eastAsia="Calibri" w:hAnsi="Cambria Math" w:cs="Times New Roman"/>
            <w:sz w:val="24"/>
            <w:szCs w:val="24"/>
            <w:lang w:eastAsia="ru-RU"/>
          </w:rPr>
          <m:t>=С</m:t>
        </m:r>
      </m:oMath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(10), </w:t>
      </w:r>
    </w:p>
    <w:p w14:paraId="279ACF9C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9D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исследуем поведение стационарного состояния системы в зависимости от значения параметра </w:t>
      </w:r>
      <m:oMath>
        <m:r>
          <w:rPr>
            <w:rFonts w:ascii="Cambria Math" w:eastAsia="Calibri" w:hAnsi="Cambria Math" w:cs="Times New Roman"/>
            <w:sz w:val="24"/>
            <w:szCs w:val="24"/>
            <w:lang w:eastAsia="ru-RU"/>
          </w:rPr>
          <m:t>γ</m:t>
        </m:r>
      </m:oMath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Тогда координаты особой точки, могут быть найдены из системы уравнений (11) и (12):</w:t>
      </w:r>
    </w:p>
    <w:p w14:paraId="279ACF9E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79ACF9F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vertAlign w:val="subscript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vertAlign w:val="subscript"/>
          <w:lang w:eastAsia="ru-RU"/>
        </w:rPr>
        <w:t xml:space="preserve"> – 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= 0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(11),</w:t>
      </w:r>
    </w:p>
    <w:p w14:paraId="279ACFA0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vertAlign w:val="subscript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– 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ru-RU"/>
        </w:rPr>
        <w:t>αx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= 0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(12).</w:t>
      </w:r>
    </w:p>
    <w:p w14:paraId="279ACFA1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79ACFA2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координаты выражаются следующими формулами:</w:t>
      </w:r>
    </w:p>
    <w:p w14:paraId="279ACFA3" w14:textId="77777777" w:rsidR="00CD149B" w:rsidRPr="00B924B5" w:rsidRDefault="00CD149B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ACFA4" w14:textId="77777777" w:rsidR="00CD149B" w:rsidRPr="00B924B5" w:rsidRDefault="001A5224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α</m:t>
            </m:r>
          </m:den>
        </m:f>
      </m:oMath>
      <w:r w:rsidR="00CD149B"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Cm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1-γ</m:t>
                </m:r>
              </m:e>
            </m:d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+C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γ-C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GAP</m:t>
                </m:r>
              </m:sub>
            </m:sSub>
          </m:den>
        </m:f>
      </m:oMath>
      <w:r w:rsidR="00CD149B"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CD149B"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(13),</w:t>
      </w:r>
    </w:p>
    <w:p w14:paraId="279ACFA5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79ACFA6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где 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y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 xml:space="preserve">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стационарные концентрации 1,3-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DPG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соответственно.</w:t>
      </w:r>
    </w:p>
    <w:p w14:paraId="279ACFA7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типа особой точки показывает, что она остается всюду устойчивой.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Поведение особых точек для 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y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 xml:space="preserve">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представлено на Рисунке 7. </w:t>
      </w:r>
    </w:p>
    <w:p w14:paraId="279ACFA8" w14:textId="77777777" w:rsidR="00B924B5" w:rsidRPr="00B924B5" w:rsidRDefault="00B924B5" w:rsidP="00B924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Из формул (13) видно, 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стационарная концентрация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[1,3-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DPG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]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зависит от отношения γ=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(Рисунок 7, синяя кривая). </w:t>
      </w:r>
      <w:r w:rsidRPr="00B924B5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Иначе ведет себя стационарная концентрация </w:t>
      </w:r>
      <w:r w:rsidRPr="00B924B5">
        <w:rPr>
          <w:rFonts w:ascii="Times New Roman" w:eastAsia="Times New Roman" w:hAnsi="Times New Roman" w:cs="Times New Roman"/>
          <w:iCs/>
          <w:noProof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7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красная кривая), которая при снижении отношения γ и приближении к его асимптотическому значению, возрастает до бесконечности, а при дальнейшем снижении γ уходит в отрицательную область. Асимптота существует при любом 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ru-RU"/>
        </w:rPr>
        <w:t>V</w:t>
      </w:r>
      <w:r w:rsidRPr="00B924B5">
        <w:rPr>
          <w:rFonts w:ascii="Times New Roman" w:eastAsia="Times New Roman" w:hAnsi="Times New Roman" w:cs="Times New Roman"/>
          <w:i/>
          <w:noProof/>
          <w:sz w:val="24"/>
          <w:szCs w:val="24"/>
          <w:vertAlign w:val="subscript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имеющем физический смысл. Положение асимптоты описывается уравнением (14):</w:t>
      </w:r>
    </w:p>
    <w:p w14:paraId="279ACFA9" w14:textId="77777777" w:rsidR="00B924B5" w:rsidRPr="00B924B5" w:rsidRDefault="00B924B5" w:rsidP="00B924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79ACFAA" w14:textId="77777777" w:rsidR="00B924B5" w:rsidRPr="00B924B5" w:rsidRDefault="00B924B5" w:rsidP="00B924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ru-RU"/>
          </w:rPr>
          <m:t>γ=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GAP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GAP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GAP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6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GAP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5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)</m:t>
            </m:r>
          </m:den>
        </m:f>
      </m:oMath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(14).</w:t>
      </w:r>
    </w:p>
    <w:p w14:paraId="279ACFAB" w14:textId="77777777" w:rsidR="00B924B5" w:rsidRPr="00B924B5" w:rsidRDefault="00B924B5" w:rsidP="00B924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79ACFAC" w14:textId="77777777" w:rsidR="00CD149B" w:rsidRPr="00B924B5" w:rsidRDefault="00CD149B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ACFAD" w14:textId="77777777" w:rsidR="00CD149B" w:rsidRPr="00B924B5" w:rsidRDefault="00CD149B" w:rsidP="000E5F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79AD1A5" wp14:editId="279AD1A6">
            <wp:extent cx="3390900" cy="2589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18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CFAE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Рисунок 7. 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Зависимость положения особой точки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(стационарной концентрации GAP или 1,3-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DPG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значения параметра</w:t>
      </w:r>
    </w:p>
    <w:p w14:paraId="279ACFAF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γ =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/(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+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NADH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14:paraId="279ACFB0" w14:textId="77777777" w:rsidR="00CD149B" w:rsidRPr="00B924B5" w:rsidRDefault="00CD149B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ACFB1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видно, что существует область значений параметра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ru-RU"/>
          </w:rPr>
          <m:t>γ</m:t>
        </m:r>
      </m:oMath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которой в редуцированной системе с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реакцией отсутствует стационарное состояние. Решая уравнение (14) относительно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получить значение, которое имеет смысл предельно допустимой скорости притока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данном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ru-RU"/>
          </w:rPr>
          <m:t>γ</m:t>
        </m:r>
      </m:oMath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котором еще возможен стационар в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GAPDH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системе. Реальный приток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скоростью верхней части гликолиза, которая лимитирована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фосфофруктокиназной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реакцией. Очевидно, что стационарное состояние в гликолизе будет наблюдаться, если реальная скорость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втока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превышает предельно допустимую. В случае же превышения, увеличиваются скорости накопления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FDP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будут пропорциональны разности предельно допустимой и реальной скоростей накопления каждого из данных метаболитов. Эти явления иллюстрирует Рисунок 8.</w:t>
      </w:r>
    </w:p>
    <w:p w14:paraId="279ACFB2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Потеря стационарного состояния гликолиза, сопровождающаяся накоплением ряда метаболитов, является фактором, приводящим к гибели ЭБР из-за осмотического стресса, возникающего, с одной стороны, при накоплении в клетке этих метаболитов, а с другой, из-за снижения скорости мембранных насосов при снижении концентрации АТФ. Исследования, проведенные с учетом регуляции объема эритроцита, показывают, что повышение концентрации метаболита во внутренней среде клетки на величину порядка 30-60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приводит к увеличению его объема в 1.5-2.0 раза и, как следствие, к лизису эритроцита [1]. Из Рисунков 3а и 5 видно, что, если учесть, что накапливающийся метаболит в клетке не единственный, суммарно такие концентрации достигаются в исследуемой системе при потере стационарного состояния за десятки часов. Соответственно, использование метаболической системы такой конфигурации в медицинских целях заведомо неприемлемо. Чтобы успешно использовать такие биореакторы, необходимо соблюдать ограничения на активность ферментов встраиваемой системы, чтобы не допускать потери стационарного состояния в гликолизе.</w:t>
      </w:r>
    </w:p>
    <w:p w14:paraId="279ACFB3" w14:textId="77777777" w:rsidR="00CD149B" w:rsidRPr="00B924B5" w:rsidRDefault="00CD149B" w:rsidP="00553A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9ACFB4" w14:textId="77777777" w:rsidR="00CD149B" w:rsidRPr="00B924B5" w:rsidRDefault="00CD149B" w:rsidP="000E5F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79AD1A7" wp14:editId="279AD1A8">
            <wp:extent cx="2882900" cy="22796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23" cy="229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CFB5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Рисунок 8.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Сравнение величин реального и предельно допустимого потоков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верхней части гликолиза при различных величинах γ. Реальный поток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(синяя кривая) получен при подстановке в уравнение 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V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FPK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стационарных концентраций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F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ATP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AMP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рассчитанных для полной модели гликолиза при определенных фиксированных концентрациях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Скорость реального </w:t>
      </w:r>
      <w:proofErr w:type="spellStart"/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втока</w:t>
      </w:r>
      <w:proofErr w:type="spellEnd"/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рассчитана как удвоенная скорость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PFK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реакции, т.к. из одной молекулы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FDP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образуется 2 молекулы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Предельно допустимый поток 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(красная кривая) получен в результате решения уравнения (14) относительно 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V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GAP</w:t>
      </w:r>
      <w:r w:rsidRPr="00B92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279ACFB6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CFB7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Сделанный вывод справедлив не только для 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этанол-утилизирующей системе, но и для любых встраиваемых ферментов, способных изменять стационарную концентрацию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(а, следовательно, соотношение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/(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)) в системе, вне зависимости от причин, вызывающих такое изменение. Этот вывод не мог быть сделан на основании ранее опубликованных моделей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алкоцитов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не учитывали подробно связь встраиваемых реакций с реакциями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эритроцитарного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гликолиза. </w:t>
      </w:r>
    </w:p>
    <w:p w14:paraId="279ACFBA" w14:textId="77777777" w:rsidR="00B924B5" w:rsidRPr="00B924B5" w:rsidRDefault="00B924B5" w:rsidP="00553A2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CFBB" w14:textId="77777777" w:rsidR="00CD149B" w:rsidRPr="007335FD" w:rsidRDefault="00CD149B" w:rsidP="007335FD">
      <w:pPr>
        <w:pStyle w:val="2"/>
        <w:rPr>
          <w:b w:val="0"/>
        </w:rPr>
      </w:pPr>
      <w:bookmarkStart w:id="21" w:name="_Toc94790894"/>
      <w:r w:rsidRPr="007335FD">
        <w:rPr>
          <w:b w:val="0"/>
        </w:rPr>
        <w:t>2</w:t>
      </w:r>
      <w:r w:rsidRPr="007335FD">
        <w:rPr>
          <w:b w:val="0"/>
        </w:rPr>
        <w:tab/>
      </w:r>
      <w:r w:rsidRPr="007335FD">
        <w:rPr>
          <w:rStyle w:val="20"/>
          <w:b/>
        </w:rPr>
        <w:t>Математические модели ЭБР, утилизирующих аммоний</w:t>
      </w:r>
      <w:bookmarkEnd w:id="21"/>
    </w:p>
    <w:p w14:paraId="279ACFBC" w14:textId="77777777" w:rsidR="00CD149B" w:rsidRPr="00B924B5" w:rsidRDefault="00CD149B" w:rsidP="00553A28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9ACFBD" w14:textId="77777777" w:rsidR="00CD149B" w:rsidRPr="00B924B5" w:rsidRDefault="00CD149B" w:rsidP="00553A28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Гипераммониемия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– это повышенное содержание аммония в крови. Высокие концентрации аммония токсичны для центральной нервной системы, поэтому у пациентов с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гипераммониемией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(НА) развивается печеночная энцефалопатия. Клинические симптомы возникают при повышении концентрации аммиака в 3-10 раз [9]. Это тошнота, многократные приступы рвоты; головокружение, судороги; потеря сознания, отёк мозга, кома (в тяжёлых случаях), которая может привести к летальному исходу; отставание в </w:t>
      </w:r>
      <w:r w:rsidRPr="00B924B5">
        <w:rPr>
          <w:rFonts w:ascii="Times New Roman" w:hAnsi="Times New Roman" w:cs="Times New Roman"/>
          <w:sz w:val="24"/>
          <w:szCs w:val="24"/>
        </w:rPr>
        <w:lastRenderedPageBreak/>
        <w:t>умственном развитии (при хронической врождённой форме). Таким образом, состояние НА требует обязательной быстрой коррекции (снижения повышенных концентраций аммония в организме). Однако существующие медикаментозные средства не очень эффективны. Для снижения стационарной концентрации аммония в крови до нормального уровня (</w:t>
      </w:r>
      <w:r w:rsidRPr="00B924B5">
        <w:rPr>
          <w:rFonts w:ascii="Times New Roman" w:hAnsi="Times New Roman" w:cs="Times New Roman"/>
          <w:sz w:val="24"/>
          <w:szCs w:val="24"/>
          <w:u w:val="single"/>
        </w:rPr>
        <w:t>&lt;</w:t>
      </w:r>
      <w:r w:rsidRPr="00B924B5">
        <w:rPr>
          <w:rFonts w:ascii="Times New Roman" w:hAnsi="Times New Roman" w:cs="Times New Roman"/>
          <w:sz w:val="24"/>
          <w:szCs w:val="24"/>
        </w:rPr>
        <w:t xml:space="preserve">60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μМ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) обычно требуется от 2 до 10 дней. Это обусловлено тем, что никакие используемые лекарства не взаимодействуют с аммонием прямо. Их действие обычно осуществляется опосредовано через взаимодействие с другими компонентами системы выведения аммония в организме. Таким образом вопрос быстрого снижения концентрации аммония в крови остается нерешенным. ЭБР, включающие фермент(ы), способные непосредственно перерабатывать аммиак (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), могут оказаться хорошей альтернативой существующим медикаментозным препаратам для лечения НА. </w:t>
      </w:r>
    </w:p>
    <w:p w14:paraId="279ACFBE" w14:textId="77777777" w:rsidR="00CD149B" w:rsidRPr="00B924B5" w:rsidRDefault="00CD149B" w:rsidP="00553A28">
      <w:pPr>
        <w:tabs>
          <w:tab w:val="left" w:pos="11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Первые предложенные варианты </w:t>
      </w:r>
      <w:proofErr w:type="spellStart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аммоцитов</w:t>
      </w:r>
      <w:proofErr w:type="spellEnd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содержали в качестве перерабатывающих аммоний ферментов либо </w:t>
      </w:r>
      <w:proofErr w:type="spellStart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глутаматдегидрогеназу</w:t>
      </w:r>
      <w:proofErr w:type="spellEnd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B924B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GDH</w:t>
      </w:r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[10-12], либо </w:t>
      </w:r>
      <w:proofErr w:type="spellStart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гутаминсинтетазу</w:t>
      </w:r>
      <w:proofErr w:type="spellEnd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B924B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GS</w:t>
      </w:r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[13,14]. Однако время, в течение которого эти ЭБР оставались активными в организме было очень ограничено (0.5-1 ч). Причины этого ранее исследованы не были. Поэтому в данной работе были построены математические модели ЭБР, содержащих различные перерабатывающие аммоний ферменты (</w:t>
      </w:r>
      <w:r w:rsidRPr="00B924B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GDH</w:t>
      </w:r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GS</w:t>
      </w:r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</w:t>
      </w:r>
      <w:proofErr w:type="spellStart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аланиндегидроеназу</w:t>
      </w:r>
      <w:proofErr w:type="spellEnd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B924B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AlaDH</w:t>
      </w:r>
      <w:proofErr w:type="spellEnd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), с помощью которых были проанализированы факторы, влияющие на эффективность работы каждого из видов </w:t>
      </w:r>
      <w:proofErr w:type="spellStart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аммоцитов</w:t>
      </w:r>
      <w:proofErr w:type="spellEnd"/>
      <w:r w:rsidRPr="00B924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Принцип построения и исходные предположения моделей полностью соответствовали модели, разработанной выше (см. раздел 1 в Основной части. При этом скорость проникновения аммония в клетку считали настолько высокой, что в любой момент времени концентрация этого метаболита внутри и снаружи клетки находилась в равновесии [15].  Для каждого из биореакторов были записаны свои уравнения для встроенных реакций:</w:t>
      </w:r>
    </w:p>
    <w:p w14:paraId="279ACFBF" w14:textId="77777777" w:rsidR="00CD149B" w:rsidRPr="00B924B5" w:rsidRDefault="00CD149B" w:rsidP="00553A28">
      <w:p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ЭБР #1: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глутаминсинтетаза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, реакция (15)):</w:t>
      </w:r>
    </w:p>
    <w:p w14:paraId="279ACFC0" w14:textId="77777777" w:rsidR="00CD149B" w:rsidRPr="00B924B5" w:rsidRDefault="00CD149B" w:rsidP="00553A28">
      <w:pPr>
        <w:tabs>
          <w:tab w:val="left" w:pos="1100"/>
          <w:tab w:val="left" w:pos="1440"/>
          <w:tab w:val="left" w:pos="8800"/>
          <w:tab w:val="left" w:pos="90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GLU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ATP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↔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GLN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ADP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PO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  <w:t>(15),</w:t>
      </w:r>
    </w:p>
    <w:p w14:paraId="279ACFC1" w14:textId="77777777" w:rsidR="00CD149B" w:rsidRPr="00B924B5" w:rsidRDefault="00CD149B" w:rsidP="00553A28">
      <w:pPr>
        <w:tabs>
          <w:tab w:val="left" w:pos="1100"/>
          <w:tab w:val="left" w:pos="14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ЭБР #2: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глутаматдегидрогеназа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, реакция (16)):</w:t>
      </w:r>
    </w:p>
    <w:p w14:paraId="279ACFC2" w14:textId="77777777" w:rsidR="00CD149B" w:rsidRPr="00B924B5" w:rsidRDefault="00CD149B" w:rsidP="00553A28">
      <w:pPr>
        <w:tabs>
          <w:tab w:val="left" w:pos="1100"/>
          <w:tab w:val="left" w:pos="1440"/>
          <w:tab w:val="left" w:pos="8800"/>
          <w:tab w:val="left" w:pos="90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AKG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NADPH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↔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GLU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  <w:t>(16),</w:t>
      </w:r>
    </w:p>
    <w:p w14:paraId="279ACFC3" w14:textId="77777777" w:rsidR="00CD149B" w:rsidRPr="00B924B5" w:rsidRDefault="00CD149B" w:rsidP="00553A28">
      <w:pPr>
        <w:tabs>
          <w:tab w:val="left" w:pos="1100"/>
          <w:tab w:val="left" w:pos="1440"/>
          <w:tab w:val="left" w:pos="86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ЭБР #3: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аланиндегидрогеназа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la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, реакция (17)):</w:t>
      </w:r>
    </w:p>
    <w:p w14:paraId="279ACFC4" w14:textId="77777777" w:rsidR="00CD149B" w:rsidRPr="00B924B5" w:rsidRDefault="00CD149B" w:rsidP="00553A28">
      <w:pPr>
        <w:tabs>
          <w:tab w:val="left" w:pos="1100"/>
          <w:tab w:val="left" w:pos="1440"/>
          <w:tab w:val="left" w:pos="880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PYR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↔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ALA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O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  <w:t>(17),</w:t>
      </w:r>
    </w:p>
    <w:p w14:paraId="279ACFC5" w14:textId="77777777" w:rsidR="00CD149B" w:rsidRPr="00B924B5" w:rsidRDefault="00CD149B" w:rsidP="00553A28">
      <w:pPr>
        <w:tabs>
          <w:tab w:val="left" w:pos="1100"/>
          <w:tab w:val="left" w:pos="1440"/>
          <w:tab w:val="left" w:pos="8800"/>
        </w:tabs>
        <w:spacing w:after="0" w:line="36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</w:rPr>
      </w:pPr>
    </w:p>
    <w:p w14:paraId="279ACFC6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GLU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L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глутаминовая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кислота;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GLN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L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-глутамин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e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ATP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ADP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аденозин-5’-три- и аденозин-5’-дифосфат, соответственно;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ион аммония;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PO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анион неорганического 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фосфата;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AKG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α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кетоглутарат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NADPH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окисленные и восстановленные формы, соответственно,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никотинамидадениндинуклеотида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никотинамидадениндинукдеотидфосфата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соответственно;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PYR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пируват; и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ALA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, аланин.</w:t>
      </w:r>
    </w:p>
    <w:p w14:paraId="279ACFC7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Были рассчитаны кинетики для различных метаболитов внутри эритроцитов. </w:t>
      </w:r>
    </w:p>
    <w:p w14:paraId="279ACFC8" w14:textId="77777777" w:rsidR="00CD149B" w:rsidRPr="00B924B5" w:rsidRDefault="00CD149B" w:rsidP="00553A28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Учитывая, что клеточные биореакторы должны функционировать в организме в течение десятков часов, и что характеристические времена большинства метаболических процессов в эритроците не превышают нескольких десятков минут, можно предположить, что биореакторы будут функционировать при физиологических условиях в квази-стационарном состоянии, т.е. что концентрации всех внутриклеточных метаболитов, таких как глюкоза,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лактат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 пируват будут оставаться постоянными в течение многих часов, несмотря на тот факт, что биореакторы производят и потребляют эти вещества. </w:t>
      </w:r>
    </w:p>
    <w:p w14:paraId="279ACFC9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В результате теоретического анализа работы различных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было показано, что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Pr="00B924B5">
        <w:rPr>
          <w:rFonts w:ascii="Times New Roman" w:hAnsi="Times New Roman" w:cs="Times New Roman"/>
          <w:sz w:val="24"/>
          <w:szCs w:val="24"/>
        </w:rPr>
        <w:t xml:space="preserve"> не могут эффективно работать внутри эритроцитов из-за очень низких скоростей транспорта через мембрану эритроцита необходимых субстратов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AKG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соответственно) [4,16]. Равновесие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аланиндегидрогеназной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реакции в физиологических условиях вообще сдвинуто в сторону не потребления, а производства аммония [8], поэтому она также не может быть использована для создания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 Подробный анализ работы всех этих типов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 помощью математического моделирования позволил нам предложить новую ферментную систему для включения в эритроциты, которая позволила бы обойти ограничения транспорта необходимых для реакции субстратов. Мы предложили включить в эритроциты тандем из двух ферментов,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аланинаминотрансферазы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) (реакции (16) и (18)). Схема нового биореактора представлена на Рисунке 9. </w:t>
      </w:r>
    </w:p>
    <w:p w14:paraId="279ACFCA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b/>
          <w:sz w:val="24"/>
          <w:szCs w:val="24"/>
          <w:u w:val="single"/>
        </w:rPr>
        <w:t>ЭБР#4</w:t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(реакция (16)) и аланинаминотрансфераза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>, реакция (18)):</w:t>
      </w:r>
    </w:p>
    <w:p w14:paraId="279ACFCB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AKG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NADPH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↔ </w:t>
      </w:r>
      <w:r w:rsidRPr="00B924B5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GLU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NADP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  <w:t>(16),</w:t>
      </w:r>
    </w:p>
    <w:p w14:paraId="279ACFCC" w14:textId="77777777" w:rsidR="00CD149B" w:rsidRPr="00B924B5" w:rsidRDefault="00CD149B" w:rsidP="00553A28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GLU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PYR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↔ </w:t>
      </w:r>
      <w:r w:rsidRPr="00B924B5"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  <w:t>AKG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ALA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  <w:t>(18).</w:t>
      </w:r>
    </w:p>
    <w:p w14:paraId="279ACFCD" w14:textId="77777777" w:rsidR="00CD149B" w:rsidRPr="00B924B5" w:rsidRDefault="00CD149B" w:rsidP="00553A28">
      <w:pPr>
        <w:tabs>
          <w:tab w:val="left" w:pos="850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9AD1A9" wp14:editId="279AD1AA">
            <wp:simplePos x="0" y="0"/>
            <wp:positionH relativeFrom="margin">
              <wp:posOffset>91440</wp:posOffset>
            </wp:positionH>
            <wp:positionV relativeFrom="margin">
              <wp:posOffset>258445</wp:posOffset>
            </wp:positionV>
            <wp:extent cx="5940425" cy="5293360"/>
            <wp:effectExtent l="0" t="0" r="3175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ACFCE" w14:textId="77777777" w:rsidR="00CD149B" w:rsidRPr="00B924B5" w:rsidRDefault="00CD149B" w:rsidP="00553A28">
      <w:pPr>
        <w:tabs>
          <w:tab w:val="left" w:pos="850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79ACFCF" w14:textId="77777777" w:rsidR="00CD149B" w:rsidRPr="00B924B5" w:rsidRDefault="00CD149B" w:rsidP="00553A28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</w:rPr>
        <w:t>Рисунок 9.</w:t>
      </w:r>
      <w:r w:rsidRPr="00B924B5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</w:rPr>
        <w:t>Реакции гликолиза и встроенной системы ферментов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+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) в эритроците. Обозначения ферментов и метаболитов гликолиза см. в подписи к Рисунку 1.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GLU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глутамновая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кислота;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AKG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– α-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кетоглутарат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ALA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- аланин;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B924B5">
        <w:rPr>
          <w:rFonts w:ascii="Times New Roman" w:eastAsia="Calibri" w:hAnsi="Times New Roman" w:cs="Times New Roman"/>
          <w:sz w:val="24"/>
          <w:szCs w:val="24"/>
        </w:rPr>
        <w:t>6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PDH</w:t>
      </w:r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– глюкозо-6-фосфатдегидрогеназа; 6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PGLDH</w:t>
      </w:r>
      <w:r w:rsidRPr="00B924B5">
        <w:rPr>
          <w:rFonts w:ascii="Times New Roman" w:eastAsia="Calibri" w:hAnsi="Times New Roman" w:cs="Times New Roman"/>
          <w:sz w:val="24"/>
          <w:szCs w:val="24"/>
        </w:rPr>
        <w:t xml:space="preserve"> – 6-фосфоглюконатдегидрогеназа;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глутаматдегидрогеназа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– аланинаминотрансфераза;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PPP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– пентозофосфатный путь;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- ион аммония..</w:t>
      </w:r>
    </w:p>
    <w:p w14:paraId="279ACFD0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CFD1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Хотя все реакции системы кроме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гексокиназной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(НК),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B924B5">
        <w:rPr>
          <w:rFonts w:ascii="Times New Roman" w:hAnsi="Times New Roman" w:cs="Times New Roman"/>
          <w:sz w:val="24"/>
          <w:szCs w:val="24"/>
        </w:rPr>
        <w:t>6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PDH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реакции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фосфофруктокиназы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PFK</w:t>
      </w:r>
      <w:r w:rsidRPr="00B924B5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пируваткиназы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(РК) являются обратимыми, для простоты на схеме приведены только стрелки, указывающие основное направление протекания </w:t>
      </w:r>
      <w:r w:rsidRPr="00B924B5">
        <w:rPr>
          <w:rFonts w:ascii="Times New Roman" w:hAnsi="Times New Roman" w:cs="Times New Roman"/>
          <w:sz w:val="24"/>
          <w:szCs w:val="24"/>
        </w:rPr>
        <w:lastRenderedPageBreak/>
        <w:t xml:space="preserve">реакций в нормальных условиях. Кроме того, из схемы исключены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</w:t>
      </w:r>
      <w:r w:rsidRPr="00B924B5">
        <w:rPr>
          <w:rFonts w:ascii="Times New Roman" w:hAnsi="Times New Roman" w:cs="Times New Roman"/>
          <w:sz w:val="24"/>
          <w:szCs w:val="24"/>
        </w:rPr>
        <w:t>/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NADH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т.к., как было показано ранее, реакция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протекает гораздо более эффективно с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/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9ACFD2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В предложенном биореакторе скорость реакций не ограничивается скоростями транспорта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AKG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Pr="00B924B5">
        <w:rPr>
          <w:rFonts w:ascii="Times New Roman" w:hAnsi="Times New Roman" w:cs="Times New Roman"/>
          <w:sz w:val="24"/>
          <w:szCs w:val="24"/>
        </w:rPr>
        <w:t xml:space="preserve"> через мембрану эритроцита, т.к. при совместной работе данных встроенных ферментов эти метаболиты расходуются и вновь синтезируются внутри эритроцита циклически.</w:t>
      </w:r>
    </w:p>
    <w:p w14:paraId="279ACFD3" w14:textId="77777777" w:rsidR="00CD149B" w:rsidRPr="00B924B5" w:rsidRDefault="001A5224" w:rsidP="00553A28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noProof/>
          <w:lang w:eastAsia="ru-RU"/>
        </w:rPr>
        <w:object w:dxaOrig="1440" w:dyaOrig="1440" w14:anchorId="279AD1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1.6pt;width:422.55pt;height:298.9pt;z-index:251660288;mso-position-horizontal-relative:text;mso-position-vertical-relative:text">
            <v:imagedata r:id="rId17" o:title=""/>
            <w10:wrap type="topAndBottom"/>
          </v:shape>
          <o:OLEObject Type="Embed" ProgID="Origin50.Graph" ShapeID="_x0000_s1026" DrawAspect="Content" ObjectID="_1747570590" r:id="rId18"/>
        </w:objec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Теоретический анализ работы такого ЭБР (Рисунок 10) показал, что скорость </w:t>
      </w:r>
    </w:p>
    <w:p w14:paraId="279ACFD4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CFD5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b/>
          <w:sz w:val="24"/>
          <w:szCs w:val="24"/>
        </w:rPr>
        <w:t xml:space="preserve">Рисунок 10. 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Рассчитанные кинетические параметры </w:t>
      </w:r>
      <w:proofErr w:type="gramStart"/>
      <w:r w:rsidRPr="00B924B5">
        <w:rPr>
          <w:rFonts w:ascii="Times New Roman" w:eastAsia="Times New Roman" w:hAnsi="Times New Roman" w:cs="Times New Roman"/>
          <w:sz w:val="24"/>
          <w:szCs w:val="24"/>
        </w:rPr>
        <w:t>квази-стационарного</w:t>
      </w:r>
      <w:proofErr w:type="gram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биореактора, содержащего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ALT</w:t>
      </w:r>
      <w:r w:rsidRPr="00B924B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Расчеты были проведены для постоянной концентрации аммония (АММ) а плазме, равной 0.5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мМ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>.  (</w:t>
      </w:r>
      <w:r w:rsidRPr="00B924B5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a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) – Зависимость скорости потребления аммония (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V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GB"/>
        </w:rPr>
        <w:t>AMM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 от соотношения активностей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.  Активность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была постоянной и 0.4 МЕ/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мл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ЭБР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GB"/>
        </w:rPr>
        <w:t>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в то время как активность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изменялась в области 0.04-4 МЕ/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мл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ЭБР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>. (</w:t>
      </w:r>
      <w:r w:rsidRPr="00B924B5"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 - Зависимость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V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GB"/>
        </w:rPr>
        <w:t>AMM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концентрациий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включенных в эритроцит ферментов (при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L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Т/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=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const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>=5) при различных проницаемостях мембраны эритроцита для пирувата (проницаемость была увеличена по сравнению с физиологической в 1, 2, 4, 8 и 16 раз для кривых 1, 2, 3, 4 и 5, соответственно). (</w:t>
      </w:r>
      <w:r w:rsidRPr="00B924B5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 - Зависимость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V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GB"/>
        </w:rPr>
        <w:t>AMM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от изменения проницаемости мембраны биореактора для </w:t>
      </w:r>
      <w:proofErr w:type="gramStart"/>
      <w:r w:rsidRPr="00B924B5">
        <w:rPr>
          <w:rFonts w:ascii="Times New Roman" w:eastAsia="Times New Roman" w:hAnsi="Times New Roman" w:cs="Times New Roman"/>
          <w:sz w:val="24"/>
          <w:szCs w:val="24"/>
        </w:rPr>
        <w:t>пирувата  (</w:t>
      </w:r>
      <w:proofErr w:type="gram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1) или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(2) (для каждой кривой все другие проницаемости полагали равными физиологическим, активность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составляла  2048 МЕ/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мл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ЭБР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а отношение активностей 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LT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было равно 5). (</w:t>
      </w:r>
      <w:r w:rsidRPr="00B924B5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) – Увеличение концентрации аланина 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ALA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 внутри ЭБР, содержащего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при его </w:t>
      </w:r>
      <w:proofErr w:type="gramStart"/>
      <w:r w:rsidRPr="00B924B5">
        <w:rPr>
          <w:rFonts w:ascii="Times New Roman" w:eastAsia="Times New Roman" w:hAnsi="Times New Roman" w:cs="Times New Roman"/>
          <w:sz w:val="24"/>
          <w:szCs w:val="24"/>
        </w:rPr>
        <w:t>квази-стационарной</w:t>
      </w:r>
      <w:proofErr w:type="gram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работе.</w:t>
      </w:r>
    </w:p>
    <w:p w14:paraId="279ACFD6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9ACFD7" w14:textId="77777777" w:rsidR="00CD149B" w:rsidRPr="00B924B5" w:rsidRDefault="00CD149B" w:rsidP="00553A28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>переработки аммония (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Vamm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) такими ЭБР увеличивается при увеличении соотношения активностей загруженных в эритроцит ферментов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>/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) до 5 (Рисунок 10 (а)) и возрастает при увеличении абсолютной активности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эритроците (но сохранении постоянным отношения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>/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=5) постепенно достигая насыщения (Рисунок 10 (б)). Скорость переработки аммония насыщаемым образом увеличивается при увеличении проницаемости мембраны эритроцита для пирувата, но не зависит от аналогичной проницаемости для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(Рисунок 10 (в)). И, наконец, продукт реакции аланин не способен накапливаться в эритроците в высоких концентрациях, которые могли бы привести к разрушению клетки из-за повышения осмотического давления в ней (Рисунок 10 (г)).</w:t>
      </w:r>
    </w:p>
    <w:p w14:paraId="279ACFD8" w14:textId="77777777" w:rsidR="00CD149B" w:rsidRPr="00B924B5" w:rsidRDefault="00CD149B" w:rsidP="00553A28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9ACFD9" w14:textId="77777777" w:rsidR="00CD149B" w:rsidRPr="007335FD" w:rsidRDefault="00CD149B" w:rsidP="007335FD">
      <w:pPr>
        <w:pStyle w:val="2"/>
      </w:pPr>
      <w:bookmarkStart w:id="22" w:name="_Toc94790895"/>
      <w:r w:rsidRPr="007335FD">
        <w:t>3</w:t>
      </w:r>
      <w:r w:rsidRPr="007335FD">
        <w:tab/>
      </w:r>
      <w:r w:rsidRPr="007335FD">
        <w:rPr>
          <w:rStyle w:val="20"/>
          <w:b/>
        </w:rPr>
        <w:t>Уточненная модель ЭБР, содержащих GDH и ALT</w:t>
      </w:r>
      <w:bookmarkEnd w:id="22"/>
    </w:p>
    <w:p w14:paraId="279ACFDA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CFDB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На данном этапе исследований была построена уточненная модель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содержащих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ААТ, и проанализированы факторы, влияющие на эффективность их работы. В качестве основы была использована уже приведенная выше модель (ЭБР#4), но было введено более точное описание транспорта пирувата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через мембрану эритроцита.</w:t>
      </w:r>
    </w:p>
    <w:p w14:paraId="279ACFDC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Все допущения модели совпадали с допущениями, описанными выше, за исключением того, что скорости транспорта пирувата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trPY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trLAC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,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</w:rPr>
        <w:t>соответственно) были описаны согласно работе [5]:</w:t>
      </w:r>
    </w:p>
    <w:p w14:paraId="279ACFDD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CFDE" w14:textId="77777777" w:rsidR="00CD149B" w:rsidRPr="00B924B5" w:rsidRDefault="001A5224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trPYR</m:t>
            </m:r>
          </m:sub>
        </m:sSub>
        <m:r>
          <w:rPr>
            <w:rFonts w:ascii="Cambria Math" w:hAnsi="Cambria Math" w:cs="Times New Roman"/>
            <w:sz w:val="24"/>
            <w:szCs w:val="24"/>
            <w:vertAlign w:val="superscript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trPYR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[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PYR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ext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-[</m:t>
            </m:r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PYR</m:t>
            </m:r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]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[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PYR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ext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PYR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perscript"/>
                        <w:lang w:val="en-US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vertAlign w:val="superscript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LAC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vertAlign w:val="super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</w:rPr>
                          <m:t>[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LAC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</w:rPr>
                          <m:t>]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ext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vertAlign w:val="superscript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trPYR</m:t>
                        </m:r>
                      </m:sup>
                    </m:sSubSup>
                  </m:den>
                </m:f>
              </m:e>
            </m:d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trPYR</m:t>
                </m:r>
              </m:sup>
            </m:sSubSup>
          </m:den>
        </m:f>
      </m:oMath>
      <w:r w:rsidR="00CD149B" w:rsidRPr="00B924B5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CD149B" w:rsidRPr="00B924B5">
        <w:rPr>
          <w:rFonts w:ascii="Times New Roman" w:hAnsi="Times New Roman" w:cs="Times New Roman"/>
          <w:sz w:val="24"/>
          <w:szCs w:val="24"/>
        </w:rPr>
        <w:tab/>
      </w:r>
      <w:r w:rsidR="00CD149B" w:rsidRPr="00B924B5">
        <w:rPr>
          <w:rFonts w:ascii="Times New Roman" w:hAnsi="Times New Roman" w:cs="Times New Roman"/>
          <w:sz w:val="24"/>
          <w:szCs w:val="24"/>
        </w:rPr>
        <w:tab/>
      </w:r>
      <w:r w:rsidR="00CD149B" w:rsidRPr="00B924B5">
        <w:rPr>
          <w:rFonts w:ascii="Times New Roman" w:hAnsi="Times New Roman" w:cs="Times New Roman"/>
          <w:sz w:val="24"/>
          <w:szCs w:val="24"/>
        </w:rPr>
        <w:tab/>
      </w:r>
      <w:r w:rsidR="00CD149B" w:rsidRPr="00B924B5">
        <w:rPr>
          <w:rFonts w:ascii="Times New Roman" w:hAnsi="Times New Roman" w:cs="Times New Roman"/>
          <w:sz w:val="24"/>
          <w:szCs w:val="24"/>
        </w:rPr>
        <w:tab/>
        <w:t>(19),</w:t>
      </w:r>
    </w:p>
    <w:p w14:paraId="279ACFDF" w14:textId="77777777" w:rsidR="00CD149B" w:rsidRPr="00B924B5" w:rsidRDefault="00CD149B" w:rsidP="00553A28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trPYR</m:t>
            </m:r>
          </m:sub>
        </m:sSub>
        <m:r>
          <w:rPr>
            <w:rFonts w:ascii="Cambria Math" w:hAnsi="Cambria Math" w:cs="Times New Roman"/>
            <w:sz w:val="24"/>
            <w:szCs w:val="24"/>
            <w:vertAlign w:val="superscript"/>
          </w:rPr>
          <m:t>=120 м</m:t>
        </m:r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>M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/ч</m:t>
        </m:r>
      </m:oMath>
      <w:r w:rsidRPr="00B924B5">
        <w:rPr>
          <w:rFonts w:ascii="Times New Roman" w:hAnsi="Times New Roman" w:cs="Times New Roman"/>
          <w:sz w:val="24"/>
          <w:szCs w:val="24"/>
        </w:rPr>
        <w:t xml:space="preserve">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trPYR</m:t>
            </m:r>
          </m:sup>
        </m:sSubSup>
        <m:r>
          <w:rPr>
            <w:rFonts w:ascii="Cambria Math" w:hAnsi="Cambria Math" w:cs="Times New Roman"/>
            <w:sz w:val="24"/>
            <w:szCs w:val="24"/>
            <w:vertAlign w:val="superscript"/>
          </w:rPr>
          <m:t>=1.9 м</m:t>
        </m:r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>M</m:t>
        </m:r>
      </m:oMath>
      <w:r w:rsidRPr="00B924B5">
        <w:rPr>
          <w:rFonts w:ascii="Times New Roman" w:hAnsi="Times New Roman" w:cs="Times New Roman"/>
          <w:sz w:val="24"/>
          <w:szCs w:val="24"/>
        </w:rPr>
        <w:t xml:space="preserve">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trPYR</m:t>
            </m:r>
          </m:sup>
        </m:sSubSup>
        <m:r>
          <w:rPr>
            <w:rFonts w:ascii="Cambria Math" w:hAnsi="Cambria Math" w:cs="Times New Roman"/>
            <w:sz w:val="24"/>
            <w:szCs w:val="24"/>
            <w:vertAlign w:val="superscript"/>
          </w:rPr>
          <m:t>=11 м</m:t>
        </m:r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>M</m:t>
        </m:r>
      </m:oMath>
      <w:r w:rsidRPr="00B924B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</w:rPr>
        <w:t>и</w:t>
      </w:r>
    </w:p>
    <w:p w14:paraId="279ACFE0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CFE1" w14:textId="77777777" w:rsidR="00CD149B" w:rsidRPr="00B924B5" w:rsidRDefault="001A5224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trLAC</m:t>
            </m:r>
          </m:sub>
        </m:sSub>
        <m:r>
          <w:rPr>
            <w:rFonts w:ascii="Cambria Math" w:hAnsi="Cambria Math" w:cs="Times New Roman"/>
            <w:sz w:val="24"/>
            <w:szCs w:val="24"/>
            <w:vertAlign w:val="superscript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trLAC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[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LAC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ext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-[</m:t>
            </m:r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LAC</m:t>
            </m:r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]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[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LAC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ext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LAC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perscript"/>
                        <w:lang w:val="en-US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vertAlign w:val="superscript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PYR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vertAlign w:val="super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</w:rPr>
                          <m:t>[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PYR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</w:rPr>
                          <m:t>]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ext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vertAlign w:val="superscript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trLAC</m:t>
                        </m:r>
                      </m:sup>
                    </m:sSubSup>
                  </m:den>
                </m:f>
              </m:e>
            </m:d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perscript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/>
                  </w:rPr>
                  <m:t>trLAC</m:t>
                </m:r>
              </m:sup>
            </m:sSubSup>
          </m:den>
        </m:f>
      </m:oMath>
      <w:r w:rsidR="00CD149B" w:rsidRPr="00B924B5">
        <w:rPr>
          <w:rFonts w:ascii="Times New Roman" w:hAnsi="Times New Roman" w:cs="Times New Roman"/>
          <w:sz w:val="24"/>
          <w:szCs w:val="24"/>
        </w:rPr>
        <w:tab/>
      </w:r>
      <w:r w:rsidR="00CD149B" w:rsidRPr="00B924B5">
        <w:rPr>
          <w:rFonts w:ascii="Times New Roman" w:hAnsi="Times New Roman" w:cs="Times New Roman"/>
          <w:sz w:val="24"/>
          <w:szCs w:val="24"/>
        </w:rPr>
        <w:tab/>
      </w:r>
      <w:r w:rsidR="00CD149B" w:rsidRPr="00B924B5">
        <w:rPr>
          <w:rFonts w:ascii="Times New Roman" w:hAnsi="Times New Roman" w:cs="Times New Roman"/>
          <w:sz w:val="24"/>
          <w:szCs w:val="24"/>
        </w:rPr>
        <w:tab/>
      </w:r>
      <w:r w:rsidR="00CD149B" w:rsidRPr="00B924B5">
        <w:rPr>
          <w:rFonts w:ascii="Times New Roman" w:hAnsi="Times New Roman" w:cs="Times New Roman"/>
          <w:sz w:val="24"/>
          <w:szCs w:val="24"/>
        </w:rPr>
        <w:tab/>
        <w:t>(20),</w:t>
      </w:r>
    </w:p>
    <w:p w14:paraId="279ACFE2" w14:textId="77777777" w:rsidR="00CD149B" w:rsidRPr="00B924B5" w:rsidRDefault="00CD149B" w:rsidP="00553A28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trLAC</m:t>
            </m:r>
          </m:sub>
        </m:sSub>
        <m:r>
          <w:rPr>
            <w:rFonts w:ascii="Cambria Math" w:hAnsi="Cambria Math" w:cs="Times New Roman"/>
            <w:sz w:val="24"/>
            <w:szCs w:val="24"/>
            <w:vertAlign w:val="superscript"/>
          </w:rPr>
          <m:t>=120 м</m:t>
        </m:r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>M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/ч</m:t>
        </m:r>
      </m:oMath>
      <w:r w:rsidRPr="00B924B5">
        <w:rPr>
          <w:rFonts w:ascii="Times New Roman" w:hAnsi="Times New Roman" w:cs="Times New Roman"/>
          <w:sz w:val="24"/>
          <w:szCs w:val="24"/>
        </w:rPr>
        <w:t xml:space="preserve">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trLAC</m:t>
            </m:r>
          </m:sup>
        </m:sSubSup>
        <m:r>
          <w:rPr>
            <w:rFonts w:ascii="Cambria Math" w:hAnsi="Cambria Math" w:cs="Times New Roman"/>
            <w:sz w:val="24"/>
            <w:szCs w:val="24"/>
            <w:vertAlign w:val="superscript"/>
          </w:rPr>
          <m:t>=9 м</m:t>
        </m:r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>M</m:t>
        </m:r>
      </m:oMath>
      <w:r w:rsidRPr="00B924B5">
        <w:rPr>
          <w:rFonts w:ascii="Times New Roman" w:hAnsi="Times New Roman" w:cs="Times New Roman"/>
          <w:sz w:val="24"/>
          <w:szCs w:val="24"/>
        </w:rPr>
        <w:t xml:space="preserve">;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perscript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vertAlign w:val="superscript"/>
                <w:lang w:val="en-US"/>
              </w:rPr>
              <m:t>trLAC</m:t>
            </m:r>
          </m:sup>
        </m:sSubSup>
        <m:r>
          <w:rPr>
            <w:rFonts w:ascii="Cambria Math" w:hAnsi="Cambria Math" w:cs="Times New Roman"/>
            <w:sz w:val="24"/>
            <w:szCs w:val="24"/>
            <w:vertAlign w:val="superscript"/>
          </w:rPr>
          <m:t>=1.6 м</m:t>
        </m:r>
        <m:r>
          <w:rPr>
            <w:rFonts w:ascii="Cambria Math" w:hAnsi="Cambria Math" w:cs="Times New Roman"/>
            <w:sz w:val="24"/>
            <w:szCs w:val="24"/>
            <w:vertAlign w:val="superscript"/>
            <w:lang w:val="en-US"/>
          </w:rPr>
          <m:t>M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.</m:t>
        </m:r>
      </m:oMath>
    </w:p>
    <w:p w14:paraId="279ACFE3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lastRenderedPageBreak/>
        <w:t xml:space="preserve">Концентрации с индексом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ext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относятся к внеклеточной среде, концентрации без индекса – к внутриклеточной. Все концентрации в плазме считали постоянными. </w:t>
      </w:r>
    </w:p>
    <w:p w14:paraId="279ACFE4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Во всех расчетах соотношение включенных активностей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>: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составляло 1:5, т.к., как было показано выше, в случае, если активность ААТ не менее, чем в 5 раз превышает активность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>, А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24B5">
        <w:rPr>
          <w:rFonts w:ascii="Times New Roman" w:hAnsi="Times New Roman" w:cs="Times New Roman"/>
          <w:sz w:val="24"/>
          <w:szCs w:val="24"/>
        </w:rPr>
        <w:t>Т уже не является лимитирующей стадией процесса.</w:t>
      </w:r>
    </w:p>
    <w:p w14:paraId="279ACFE5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Численные решения уравнений были получены методами Рунге-Кутты 4-5 порядка в программе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MATLAB</w:t>
      </w:r>
      <w:r w:rsidRPr="00B924B5">
        <w:rPr>
          <w:rFonts w:ascii="Times New Roman" w:hAnsi="Times New Roman" w:cs="Times New Roman"/>
          <w:sz w:val="24"/>
          <w:szCs w:val="24"/>
        </w:rPr>
        <w:t>.</w:t>
      </w:r>
    </w:p>
    <w:p w14:paraId="279ACFE6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Как было показано ранее, эффективность работы ЭБР, включающих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ААТ, не связана с транспортом через клеточную мембрану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AKG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и/или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GLU</w:t>
      </w:r>
      <w:r w:rsidRPr="00B924B5">
        <w:rPr>
          <w:rFonts w:ascii="Times New Roman" w:hAnsi="Times New Roman" w:cs="Times New Roman"/>
          <w:sz w:val="24"/>
          <w:szCs w:val="24"/>
        </w:rPr>
        <w:t xml:space="preserve">. В этих условиях ограничение скорости потребления аммония в рассматриваемых ЭБР может быть связано с транспортом пирувата сквозь мембрану эритроцита, с одной стороны, а также с изменением доли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общем пуле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+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) при работе встроенной системы ферментов в эритроците, с другой. Когда система гликолиза и встроенных ферментов находится в стационарном состоянии, правые части всех дифференциальных уравнений, описывающих эту систему, равны 0. При этом скорость гликолиза должна быть равна скоростям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пируваткиназной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(РК) или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реакций, т.е. выполняется условие </w:t>
      </w:r>
    </w:p>
    <w:p w14:paraId="279ACFE7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CFE8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</w:rPr>
        <w:t>гликолиза</w:t>
      </w:r>
      <w:r w:rsidRPr="00B924B5">
        <w:rPr>
          <w:rFonts w:ascii="Times New Roman" w:hAnsi="Times New Roman" w:cs="Times New Roman"/>
          <w:i/>
          <w:sz w:val="24"/>
          <w:szCs w:val="24"/>
        </w:rPr>
        <w:t>=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PK</w:t>
      </w:r>
      <w:r w:rsidRPr="00B924B5">
        <w:rPr>
          <w:rFonts w:ascii="Times New Roman" w:hAnsi="Times New Roman" w:cs="Times New Roman"/>
          <w:i/>
          <w:sz w:val="24"/>
          <w:szCs w:val="24"/>
        </w:rPr>
        <w:t>=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LDH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  <w:t>(21),</w:t>
      </w:r>
    </w:p>
    <w:p w14:paraId="279ACFE9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где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sz w:val="24"/>
          <w:szCs w:val="24"/>
        </w:rPr>
        <w:t xml:space="preserve"> обозначают скорости соответствующих реакций.</w:t>
      </w:r>
    </w:p>
    <w:p w14:paraId="279ACFEA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>Таким образом, можно записать:</w:t>
      </w:r>
    </w:p>
    <w:p w14:paraId="279ACFEB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CFEC" w14:textId="77777777" w:rsidR="00CD149B" w:rsidRPr="007A108A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A108A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PYR</w:t>
      </w:r>
      <w:r w:rsidRPr="007A108A">
        <w:rPr>
          <w:rFonts w:ascii="Times New Roman" w:hAnsi="Times New Roman" w:cs="Times New Roman"/>
          <w:i/>
          <w:sz w:val="24"/>
          <w:szCs w:val="24"/>
          <w:lang w:val="en-US"/>
        </w:rPr>
        <w:t>]/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dt</w:t>
      </w:r>
      <w:r w:rsidRPr="007A108A">
        <w:rPr>
          <w:rFonts w:ascii="Times New Roman" w:hAnsi="Times New Roman" w:cs="Times New Roman"/>
          <w:i/>
          <w:sz w:val="24"/>
          <w:szCs w:val="24"/>
          <w:lang w:val="en-US"/>
        </w:rPr>
        <w:t>=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PK</w:t>
      </w:r>
      <w:r w:rsidRPr="007A108A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LDH</w:t>
      </w:r>
      <w:r w:rsidRPr="007A108A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AAT</w:t>
      </w:r>
      <w:r w:rsidRPr="007A108A">
        <w:rPr>
          <w:rFonts w:ascii="Times New Roman" w:hAnsi="Times New Roman" w:cs="Times New Roman"/>
          <w:i/>
          <w:sz w:val="24"/>
          <w:szCs w:val="24"/>
          <w:lang w:val="en-US"/>
        </w:rPr>
        <w:t>+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trPYR</w:t>
      </w:r>
      <w:proofErr w:type="spellEnd"/>
      <w:r w:rsidRPr="007A108A">
        <w:rPr>
          <w:rFonts w:ascii="Times New Roman" w:hAnsi="Times New Roman" w:cs="Times New Roman"/>
          <w:i/>
          <w:sz w:val="24"/>
          <w:szCs w:val="24"/>
          <w:lang w:val="en-US"/>
        </w:rPr>
        <w:t>=0</w:t>
      </w:r>
      <w:r w:rsidRPr="007A108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A108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A108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A108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A108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A108A">
        <w:rPr>
          <w:rFonts w:ascii="Times New Roman" w:hAnsi="Times New Roman" w:cs="Times New Roman"/>
          <w:sz w:val="24"/>
          <w:szCs w:val="24"/>
          <w:lang w:val="en-US"/>
        </w:rPr>
        <w:tab/>
        <w:t>(22),</w:t>
      </w:r>
    </w:p>
    <w:p w14:paraId="279ACFED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d[GLU]/dt=V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GDH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-V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AAT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=0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  <w:t xml:space="preserve">(23), </w:t>
      </w:r>
    </w:p>
    <w:p w14:paraId="279ACFEE" w14:textId="77777777" w:rsidR="00CD149B" w:rsidRPr="00B924B5" w:rsidRDefault="00CD149B" w:rsidP="00553A28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trPYR</w:t>
      </w:r>
      <w:proofErr w:type="spellEnd"/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</w:rPr>
        <w:t xml:space="preserve">– скорость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втока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пирувата из плазмы в эритроцит, которая зависит от концентрации пирувата в плазме.</w:t>
      </w:r>
    </w:p>
    <w:p w14:paraId="279ACFEF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>Учитывая (21), получаем:</w:t>
      </w:r>
    </w:p>
    <w:p w14:paraId="279ACFF0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CFF1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GDH</w:t>
      </w:r>
      <w:r w:rsidRPr="00B924B5">
        <w:rPr>
          <w:rFonts w:ascii="Times New Roman" w:hAnsi="Times New Roman" w:cs="Times New Roman"/>
          <w:i/>
          <w:sz w:val="24"/>
          <w:szCs w:val="24"/>
        </w:rPr>
        <w:t>=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trPYR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</w:r>
      <w:r w:rsidRPr="00B924B5">
        <w:rPr>
          <w:rFonts w:ascii="Times New Roman" w:hAnsi="Times New Roman" w:cs="Times New Roman"/>
          <w:sz w:val="24"/>
          <w:szCs w:val="24"/>
        </w:rPr>
        <w:tab/>
        <w:t>(24).</w:t>
      </w:r>
    </w:p>
    <w:p w14:paraId="279ACFF2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CFF3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Таким образом, максимальная скорость потребления аммония в системе в стационарном состоянии равна скорости притока пирувата в клетку извне. Эта скорость тем выше, чем выше концентрация пирувата в плазме. </w:t>
      </w:r>
    </w:p>
    <w:p w14:paraId="279ACFF4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На Рисунке 11 (а) представлена зависимость максимальной скорости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втока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пирувата в эритроцит (равной скорости утилизации аммония в ЭБР) от концентрации </w:t>
      </w:r>
      <w:r w:rsidRPr="00B924B5">
        <w:rPr>
          <w:rFonts w:ascii="Times New Roman" w:hAnsi="Times New Roman" w:cs="Times New Roman"/>
          <w:sz w:val="24"/>
          <w:szCs w:val="24"/>
        </w:rPr>
        <w:lastRenderedPageBreak/>
        <w:t>пирувата в плазме (при физиологических концентрациях в плазме всех остальных метаболитов). Например, при физиологической концентрации пирувата в плазме (около 0.07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>), максимально возможная скорость его притока в клетку составляет примерно 3.5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/ч. </w:t>
      </w:r>
    </w:p>
    <w:p w14:paraId="279ACFF5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Кроме концентрации пирувата в плазме и связанной с этой концентрацией скоростью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втока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пирувата в клетку, эффективность аммоний-утилизирующей системы </w:t>
      </w:r>
    </w:p>
    <w:p w14:paraId="279ACFF6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left="1134" w:hanging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9ACFF7" w14:textId="77777777" w:rsidR="00CD149B" w:rsidRPr="00B924B5" w:rsidRDefault="001A5224" w:rsidP="00553A28">
      <w:pPr>
        <w:tabs>
          <w:tab w:val="left" w:pos="141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noProof/>
          <w:lang w:eastAsia="ru-RU"/>
        </w:rPr>
        <w:object w:dxaOrig="1440" w:dyaOrig="1440" w14:anchorId="279AD1AC">
          <v:shape id="_x0000_s1033" type="#_x0000_t75" style="position:absolute;left:0;text-align:left;margin-left:0;margin-top:0;width:466.95pt;height:330.15pt;z-index:251668480;mso-position-horizontal-relative:text;mso-position-vertical-relative:text">
            <v:imagedata r:id="rId19" o:title=""/>
            <w10:wrap type="topAndBottom"/>
          </v:shape>
          <o:OLEObject Type="Embed" ProgID="Origin50.Graph" ShapeID="_x0000_s1033" DrawAspect="Content" ObjectID="_1747570591" r:id="rId20"/>
        </w:object>
      </w:r>
      <w:r w:rsidR="00CD149B" w:rsidRPr="00B924B5">
        <w:rPr>
          <w:rFonts w:ascii="Times New Roman" w:hAnsi="Times New Roman" w:cs="Times New Roman"/>
          <w:b/>
          <w:sz w:val="24"/>
          <w:szCs w:val="24"/>
        </w:rPr>
        <w:t xml:space="preserve">Рисунок 11. </w:t>
      </w:r>
      <w:r w:rsidR="00CD149B" w:rsidRPr="00B924B5">
        <w:rPr>
          <w:rFonts w:ascii="Times New Roman" w:hAnsi="Times New Roman" w:cs="Times New Roman"/>
          <w:sz w:val="24"/>
          <w:szCs w:val="24"/>
        </w:rPr>
        <w:t>Влияние концентрации пирувата в плазме (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PYR</w:t>
      </w:r>
      <w:r w:rsidR="00CD149B"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ext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) на скорость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втока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пирувата в клетку (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D149B"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trPYR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) и критическую активность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>, которая может быть включена в эритроциты (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crit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). (а) – Зависимость скорости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втока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пирувата в эритроцит (которая равна максимальной скорости утилизации аммония) от концентрации пирувата в плазме. Концентрации всех остальных метаболитов гликолиза соответствуют физиологическим. Красным пунктиром отмечена скорость утилизации аммония, превышение которой приводит к исчезновению стационара в гликолизе. (б) - Зависимость критической активности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(соответствующей критической скорости утилизации аммония, представленной пунктиром на панели А), которая может быть включена в эритроциты без потери стационарного состояния в гликолизе, от концентрации пирувата во внешней среде.</w:t>
      </w:r>
    </w:p>
    <w:p w14:paraId="279ACFF8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CFF9" w14:textId="77777777" w:rsidR="00CD149B" w:rsidRPr="00B924B5" w:rsidRDefault="00CD149B" w:rsidP="00553A28">
      <w:p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(скорость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реакции) зависит также </w:t>
      </w:r>
      <w:proofErr w:type="gramStart"/>
      <w:r w:rsidRPr="00B924B5">
        <w:rPr>
          <w:rFonts w:ascii="Times New Roman" w:hAnsi="Times New Roman" w:cs="Times New Roman"/>
          <w:sz w:val="24"/>
          <w:szCs w:val="24"/>
        </w:rPr>
        <w:t>от активности</w:t>
      </w:r>
      <w:proofErr w:type="gramEnd"/>
      <w:r w:rsidRPr="00B924B5">
        <w:rPr>
          <w:rFonts w:ascii="Times New Roman" w:hAnsi="Times New Roman" w:cs="Times New Roman"/>
          <w:sz w:val="24"/>
          <w:szCs w:val="24"/>
        </w:rPr>
        <w:t xml:space="preserve"> включенной в эритроцит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. Расчеты показывают, что если величина этой активности обеспечивает скорость утилизации аммония меньшую, чем скорость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втока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пирувата в клетку (при данной концентрации пирувата в плазме), то гликолиз в эритроците протекает стационарно. При достаточно высоких концентрациях пирувата возможные скорости притока пирувата в клетку (т.е. скорости утилизации аммония) должны были бы пропорционально возрастать. Однако расчеты показывают, что существует значение активности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(значительно меньшее, чем значение, которое требуется чтобы скорость потребления аммония приблизилась к максимально возможной скорости притока пирувата), при превышении которого наблюдается исчезновение стационарного состояния в гликолизе. Эта критическая активность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различна при разных концентрациях пирувата в плазме, но всегда соответствует значению скорости утилизации аммония около 12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/ч (красный пунктир на Рисунке 11(а)). При превышении критической активности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стационарное состояние в гликолизе исчезает и начинается накопление всех гликолитических метаболитов, кроме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B924B5">
        <w:rPr>
          <w:rFonts w:ascii="Times New Roman" w:hAnsi="Times New Roman" w:cs="Times New Roman"/>
          <w:sz w:val="24"/>
          <w:szCs w:val="24"/>
        </w:rPr>
        <w:t>6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924B5">
        <w:rPr>
          <w:rFonts w:ascii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924B5">
        <w:rPr>
          <w:rFonts w:ascii="Times New Roman" w:hAnsi="Times New Roman" w:cs="Times New Roman"/>
          <w:sz w:val="24"/>
          <w:szCs w:val="24"/>
        </w:rPr>
        <w:t>6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924B5">
        <w:rPr>
          <w:rFonts w:ascii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 xml:space="preserve">, концентрации которых хоть и изменяются, но постепенно выходят на новое стационарное значение. </w:t>
      </w:r>
    </w:p>
    <w:p w14:paraId="279ACFFA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Рисунок 11(б) представляет зависимость критической активности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>, которая может быть включена в эритроцит без потери стационарного состояния в гликолизе, от концентрации пирувата во внеклеточной среде. Зависимость имеет асимптоту в области низких концентраций пирувата, что означает, что при малых (меньше 0.3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) концентрациях пирувата в плазме критическое значение скорости утилизации аммония вообще не может быть достигнуто ни при каких активностях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т.к. скорость работы включенного фермента в этих условиях лимитируется не метаболитами, определяющими наличие стационарного состояния гликолиза, а малой скоростью притока пирувата. В области высоких концентраций пирувата критическое значение активности включенной в эритроцит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лимитируется снижением доли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общем пуле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+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>), которое приводит к потере стационарного состояния в гликолизе.</w:t>
      </w:r>
    </w:p>
    <w:p w14:paraId="279ACFFB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Рисунок 12 демонстрирует изменение концентраций в эритроците некоторых метаболитов при концентрации пирувата в плазме 1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 различных активностях включенной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. Как уже было сказано выше, при превышении критического значения активности включенной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стационарное состояние в гликолизе исчезает. Так как лизис клетки наступает, когда суммарная внутриклеточная концентрация метаболитов повышается по сравнению с нормальной физиологической на несколько десятков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hAnsi="Times New Roman" w:cs="Times New Roman"/>
          <w:sz w:val="24"/>
          <w:szCs w:val="24"/>
        </w:rPr>
        <w:lastRenderedPageBreak/>
        <w:t>такая динамика приведет к осмотическому лизису эритроцита в течение нескольких сотен часов.</w:t>
      </w:r>
    </w:p>
    <w:p w14:paraId="279ACFFC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Так как гликолиз и система встроенных в эритроцит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 перекрываются на уровне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, ключевым параметром, влияющим на потерю стационара </w:t>
      </w:r>
      <w:proofErr w:type="gramStart"/>
      <w:r w:rsidRPr="00B924B5">
        <w:rPr>
          <w:rFonts w:ascii="Times New Roman" w:hAnsi="Times New Roman" w:cs="Times New Roman"/>
          <w:sz w:val="24"/>
          <w:szCs w:val="24"/>
        </w:rPr>
        <w:t>в гликолизе</w:t>
      </w:r>
      <w:proofErr w:type="gramEnd"/>
      <w:r w:rsidRPr="00B924B5">
        <w:rPr>
          <w:rFonts w:ascii="Times New Roman" w:hAnsi="Times New Roman" w:cs="Times New Roman"/>
          <w:sz w:val="24"/>
          <w:szCs w:val="24"/>
        </w:rPr>
        <w:t xml:space="preserve"> является отношение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/(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+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), которое в нормальном физиологическом состоянии поддерживается близким к 0 за счет восстановления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 xml:space="preserve"> до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реакциях пентозофосфатного пути. Окисление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нормальном эритроците осуществляется в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глутатионредуктазной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реакции, и его скорость определяется скоростью окисления глутатиона (т. е. суммарно, скоростью окислительных процессов в клетке).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реакция также окисляет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создавая дополнительную нагрузку на пентозофосфатный путь. В результате отношение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/(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+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) увеличивается, вследствие чего происходит активация пентозофосфатного пути, который связан с гликолизом через общие метаболиты (Рисунок 9). Ранее в работе [17], где была исследована совместная математическая модель гликолиза и РРР, было показано, что при высоких потоках в РРР, системы регуляции гликолиза становятся неспособны стабилизировать уровень АТФ в эритроците, который начинает расти и достигает практически величины, близкой к суммарному пулу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аденилатов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(Рисунок 12 (а)). Вместе с этим, концентрация А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924B5">
        <w:rPr>
          <w:rFonts w:ascii="Times New Roman" w:hAnsi="Times New Roman" w:cs="Times New Roman"/>
          <w:sz w:val="24"/>
          <w:szCs w:val="24"/>
        </w:rPr>
        <w:t xml:space="preserve">Р сильно падает, из-за чего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пируваткиназная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реакция становится неспособной пропустить через себя полностью поток метаболитов, образовавшихся в верхней части гликолиза (Рисунок 9). В результате начинается их накопление и стационарное состояние в гликолизе исчезает. </w:t>
      </w:r>
    </w:p>
    <w:p w14:paraId="279ACFFD" w14:textId="77777777" w:rsidR="00CD149B" w:rsidRPr="00B924B5" w:rsidRDefault="001A5224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noProof/>
          <w:lang w:eastAsia="ru-RU"/>
        </w:rPr>
        <w:lastRenderedPageBreak/>
        <w:object w:dxaOrig="1440" w:dyaOrig="1440" w14:anchorId="279AD1AD">
          <v:shape id="_x0000_s1034" type="#_x0000_t75" style="position:absolute;left:0;text-align:left;margin-left:0;margin-top:20.7pt;width:467.55pt;height:330.6pt;z-index:251669504;mso-position-horizontal-relative:text;mso-position-vertical-relative:text">
            <v:imagedata r:id="rId21" o:title=""/>
            <w10:wrap type="topAndBottom"/>
          </v:shape>
          <o:OLEObject Type="Embed" ProgID="Origin50.Graph" ShapeID="_x0000_s1034" DrawAspect="Content" ObjectID="_1747570592" r:id="rId22"/>
        </w:object>
      </w:r>
    </w:p>
    <w:p w14:paraId="279ACFFE" w14:textId="77777777" w:rsidR="00CD149B" w:rsidRPr="00B924B5" w:rsidRDefault="00CD149B" w:rsidP="00553A28">
      <w:p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9ACFFF" w14:textId="77777777" w:rsidR="00CD149B" w:rsidRPr="00B924B5" w:rsidRDefault="00CD149B" w:rsidP="00BA1A5C">
      <w:pPr>
        <w:tabs>
          <w:tab w:val="left" w:pos="141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b/>
          <w:sz w:val="24"/>
          <w:szCs w:val="24"/>
        </w:rPr>
        <w:t>Рисунок 12.</w:t>
      </w:r>
      <w:r w:rsidRPr="00B924B5">
        <w:rPr>
          <w:rFonts w:ascii="Times New Roman" w:hAnsi="Times New Roman" w:cs="Times New Roman"/>
          <w:sz w:val="24"/>
          <w:szCs w:val="24"/>
        </w:rPr>
        <w:t xml:space="preserve"> Кинетика метаболитов гликолиза в ЭБР с различными активностями включенных аммоний-утилизирующих ферментов. Представлены концентрации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ATP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b/>
          <w:sz w:val="24"/>
          <w:szCs w:val="24"/>
        </w:rPr>
        <w:t>а</w:t>
      </w:r>
      <w:r w:rsidRPr="00B924B5">
        <w:rPr>
          <w:rFonts w:ascii="Times New Roman" w:hAnsi="Times New Roman" w:cs="Times New Roman"/>
          <w:sz w:val="24"/>
          <w:szCs w:val="24"/>
        </w:rPr>
        <w:t xml:space="preserve">),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b/>
          <w:sz w:val="24"/>
          <w:szCs w:val="24"/>
        </w:rPr>
        <w:t>б</w:t>
      </w:r>
      <w:r w:rsidRPr="00B924B5">
        <w:rPr>
          <w:rFonts w:ascii="Times New Roman" w:hAnsi="Times New Roman" w:cs="Times New Roman"/>
          <w:sz w:val="24"/>
          <w:szCs w:val="24"/>
        </w:rPr>
        <w:t>), 2,3-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DPG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b/>
          <w:sz w:val="24"/>
          <w:szCs w:val="24"/>
        </w:rPr>
        <w:t>в</w:t>
      </w:r>
      <w:r w:rsidRPr="00B924B5">
        <w:rPr>
          <w:rFonts w:ascii="Times New Roman" w:hAnsi="Times New Roman" w:cs="Times New Roman"/>
          <w:sz w:val="24"/>
          <w:szCs w:val="24"/>
        </w:rPr>
        <w:t xml:space="preserve">) и сумма концентраций метаболитов гликолиза от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B924B5">
        <w:rPr>
          <w:rFonts w:ascii="Times New Roman" w:hAnsi="Times New Roman" w:cs="Times New Roman"/>
          <w:sz w:val="24"/>
          <w:szCs w:val="24"/>
        </w:rPr>
        <w:t>6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924B5">
        <w:rPr>
          <w:rFonts w:ascii="Times New Roman" w:hAnsi="Times New Roman" w:cs="Times New Roman"/>
          <w:sz w:val="24"/>
          <w:szCs w:val="24"/>
        </w:rPr>
        <w:t xml:space="preserve"> до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PEP</w:t>
      </w:r>
      <w:r w:rsidRPr="00B924B5">
        <w:rPr>
          <w:rFonts w:ascii="Times New Roman" w:hAnsi="Times New Roman" w:cs="Times New Roman"/>
          <w:sz w:val="24"/>
          <w:szCs w:val="24"/>
        </w:rPr>
        <w:t xml:space="preserve"> (за исключением 2,3-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DPG</w:t>
      </w:r>
      <w:r w:rsidRPr="00B924B5">
        <w:rPr>
          <w:rFonts w:ascii="Times New Roman" w:hAnsi="Times New Roman" w:cs="Times New Roman"/>
          <w:sz w:val="24"/>
          <w:szCs w:val="24"/>
        </w:rPr>
        <w:t>) (</w:t>
      </w:r>
      <w:r w:rsidRPr="00B924B5">
        <w:rPr>
          <w:rFonts w:ascii="Times New Roman" w:hAnsi="Times New Roman" w:cs="Times New Roman"/>
          <w:b/>
          <w:sz w:val="24"/>
          <w:szCs w:val="24"/>
        </w:rPr>
        <w:t>г</w:t>
      </w:r>
      <w:r w:rsidRPr="00B924B5">
        <w:rPr>
          <w:rFonts w:ascii="Times New Roman" w:hAnsi="Times New Roman" w:cs="Times New Roman"/>
          <w:sz w:val="24"/>
          <w:szCs w:val="24"/>
        </w:rPr>
        <w:t xml:space="preserve">). Активность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составляла 0, 10, 30,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B924B5">
        <w:rPr>
          <w:rFonts w:ascii="Times New Roman" w:hAnsi="Times New Roman" w:cs="Times New Roman"/>
          <w:sz w:val="24"/>
          <w:szCs w:val="24"/>
        </w:rPr>
        <w:t xml:space="preserve"> 60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B924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мл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ЭБР</w:t>
      </w:r>
      <w:proofErr w:type="spellEnd"/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Pr="00B924B5">
        <w:rPr>
          <w:rFonts w:ascii="Times New Roman" w:hAnsi="Times New Roman" w:cs="Times New Roman"/>
          <w:sz w:val="24"/>
          <w:szCs w:val="24"/>
        </w:rPr>
        <w:t xml:space="preserve"> для кривых 1, 2, 3 и 4, соответственно. Активность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каждом случае была в 5 раз выше.</w:t>
      </w:r>
    </w:p>
    <w:p w14:paraId="279AD000" w14:textId="77777777" w:rsidR="00CD149B" w:rsidRPr="00B924B5" w:rsidRDefault="00CD149B" w:rsidP="00BA1A5C">
      <w:pPr>
        <w:tabs>
          <w:tab w:val="left" w:pos="141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9AD001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Потерю стационара определяли по существенному увеличению суммарной концентрации всех метаболитов гликолиза выше физиологического значения этой величины. На Рисунке 13(а) можно наблюдать, что до значения отношения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/(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+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) около 0.35-0.40 суммарная концентрация всех метаболитов гликолиза остается постоянной и примерно равной начальной. После превышения этого значения наблюдается накопление метаболитов гликолиза, что и свидетельствует о потере стационара в системе. Данные зависимости ведут себя похожим образом для системы со встроенными ферментами, утилизирующими аммоний (кривая 1) и для системы без встроенных метаболических путей, но с различными заданными фиксированными значениями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B924B5">
        <w:rPr>
          <w:rFonts w:ascii="Times New Roman" w:hAnsi="Times New Roman" w:cs="Times New Roman"/>
          <w:sz w:val="24"/>
          <w:szCs w:val="24"/>
        </w:rPr>
        <w:t xml:space="preserve">при условии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924B5">
        <w:rPr>
          <w:rFonts w:ascii="Times New Roman" w:hAnsi="Times New Roman" w:cs="Times New Roman"/>
          <w:sz w:val="24"/>
          <w:szCs w:val="24"/>
        </w:rPr>
        <w:t>[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]/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dt</w:t>
      </w:r>
      <w:r w:rsidRPr="00B924B5">
        <w:rPr>
          <w:rFonts w:ascii="Times New Roman" w:hAnsi="Times New Roman" w:cs="Times New Roman"/>
          <w:sz w:val="24"/>
          <w:szCs w:val="24"/>
        </w:rPr>
        <w:t xml:space="preserve">=0) (кривая 2)). </w:t>
      </w:r>
    </w:p>
    <w:p w14:paraId="279AD002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lastRenderedPageBreak/>
        <w:t>Таким образом, при концентрациях пирувата во внешней среде ниже примерно 0.3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главным фактором, ограничивающим эффективность работы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, является скорость притока пирувата в эритроцит извне, а при более высоких– исчезновение стационарного состояния в гликолизе при скоростях утилизации аммония выше критического значения (около 12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/ч). Этой скорости соответствуют разные значения активности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при различны концентрациях пирувата в плазме. Так как для работы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необходим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</w:t>
      </w:r>
      <w:r w:rsidRPr="00B924B5">
        <w:rPr>
          <w:rFonts w:ascii="Times New Roman" w:hAnsi="Times New Roman" w:cs="Times New Roman"/>
          <w:sz w:val="24"/>
          <w:szCs w:val="24"/>
        </w:rPr>
        <w:t>Р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924B5">
        <w:rPr>
          <w:rFonts w:ascii="Times New Roman" w:hAnsi="Times New Roman" w:cs="Times New Roman"/>
          <w:sz w:val="24"/>
          <w:szCs w:val="24"/>
        </w:rPr>
        <w:t xml:space="preserve">, который образуется при работе пентозофосфатного пути в гликолизе, включение этого фермента в эритроциты снижает долю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</w:t>
      </w:r>
      <w:r w:rsidRPr="00B924B5">
        <w:rPr>
          <w:rFonts w:ascii="Times New Roman" w:hAnsi="Times New Roman" w:cs="Times New Roman"/>
          <w:sz w:val="24"/>
          <w:szCs w:val="24"/>
        </w:rPr>
        <w:t>Р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пуле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никотинамидадениндинуклеотидфосфатов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Pr="00B924B5">
        <w:rPr>
          <w:rFonts w:ascii="Times New Roman" w:hAnsi="Times New Roman" w:cs="Times New Roman"/>
          <w:sz w:val="24"/>
          <w:szCs w:val="24"/>
        </w:rPr>
        <w:t>+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Pr="00B924B5">
        <w:rPr>
          <w:rFonts w:ascii="Times New Roman" w:hAnsi="Times New Roman" w:cs="Times New Roman"/>
          <w:sz w:val="24"/>
          <w:szCs w:val="24"/>
        </w:rPr>
        <w:t xml:space="preserve">), что приводит к невозможности стабилизации АТФ, концентрация которого увеличивается, приближаясь к величине суммарного пула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аденилатов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 Происходящее при этом уменьшение концентрации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ADP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влияет на кинетику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пируваткиназы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сильно замедляя эту реакцию, что и является непосредственной причиной потери стационарного состояния в гликолизе, что приводит к гибели клетки. Таким образом встроенные реакции могут влиять на кинетику гликолиза, если используют одновременно с ним участвующий в гликолизе метаболит. Чтобы избежать потери стационарного состояния в гликолизе и сохранить жизнеспособность ЭБР, активность встроенных ферментов не должна превышать определенного предела, который может быть определен с помощью математического моделирования. </w:t>
      </w:r>
    </w:p>
    <w:p w14:paraId="279AD003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>Аналогов подобных моделей в работах зарубежных ученых не существует.</w:t>
      </w:r>
    </w:p>
    <w:p w14:paraId="279AD004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05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06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07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08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09" w14:textId="77777777" w:rsidR="00CD149B" w:rsidRPr="00B924B5" w:rsidRDefault="001A5224" w:rsidP="00553A28">
      <w:pPr>
        <w:tabs>
          <w:tab w:val="left" w:pos="141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noProof/>
          <w:lang w:eastAsia="ru-RU"/>
        </w:rPr>
        <w:lastRenderedPageBreak/>
        <w:object w:dxaOrig="1440" w:dyaOrig="1440" w14:anchorId="279AD1AE">
          <v:shape id="_x0000_s1035" type="#_x0000_t75" style="position:absolute;left:0;text-align:left;margin-left:0;margin-top:2.5pt;width:466.95pt;height:330.15pt;z-index:251670528;mso-position-horizontal-relative:text;mso-position-vertical-relative:text">
            <v:imagedata r:id="rId23" o:title=""/>
            <w10:wrap type="topAndBottom"/>
          </v:shape>
          <o:OLEObject Type="Embed" ProgID="Origin50.Graph" ShapeID="_x0000_s1035" DrawAspect="Content" ObjectID="_1747570593" r:id="rId24"/>
        </w:object>
      </w:r>
      <w:r w:rsidR="00CD149B" w:rsidRPr="00B924B5">
        <w:rPr>
          <w:rFonts w:ascii="Times New Roman" w:hAnsi="Times New Roman" w:cs="Times New Roman"/>
          <w:b/>
          <w:sz w:val="24"/>
          <w:szCs w:val="24"/>
        </w:rPr>
        <w:t>Рисунок 13.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Исчезновение стационарного состояния в гликолизе при увеличении отношения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>/(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>+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="00CD149B" w:rsidRPr="00B924B5">
        <w:rPr>
          <w:rFonts w:ascii="Times New Roman" w:hAnsi="Times New Roman" w:cs="Times New Roman"/>
          <w:sz w:val="24"/>
          <w:szCs w:val="24"/>
        </w:rPr>
        <w:t>). (</w:t>
      </w:r>
      <w:r w:rsidR="00CD149B" w:rsidRPr="00B924B5">
        <w:rPr>
          <w:rFonts w:ascii="Times New Roman" w:hAnsi="Times New Roman" w:cs="Times New Roman"/>
          <w:b/>
          <w:sz w:val="24"/>
          <w:szCs w:val="24"/>
        </w:rPr>
        <w:t>а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) - Зависимость суммарной концентрации всех метаболитов гликолиза от стационарного значения отношения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>/(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>+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) через 500 часов после начала работы системы. Синяя кривая 1 – в эритроците со встроенной аммоний-утилизирующей системой, зеленая кривая 2– в эритроците без системы утилизации аммония, но при различных фиксированных значениях стационарных концентрации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, которые получали, задавая соответствующее начальное условие для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и приравнивая правую часть уравнения для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к 0. (</w:t>
      </w:r>
      <w:r w:rsidR="00CD149B" w:rsidRPr="00B924B5">
        <w:rPr>
          <w:rFonts w:ascii="Times New Roman" w:hAnsi="Times New Roman" w:cs="Times New Roman"/>
          <w:b/>
          <w:sz w:val="24"/>
          <w:szCs w:val="24"/>
        </w:rPr>
        <w:t>б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) - Зависимость стационарного значения отношения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>/(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>+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) от активности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аммоцитах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при различных интенсивностях окислительных процессов в клетке. Скорость окислительных процессов (</w:t>
      </w:r>
      <w:r w:rsidR="00CD149B"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CD149B"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ox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) соответствует физиологической, а также увеличенной по сравнению с ней в 10 или 50 </w:t>
      </w:r>
      <w:proofErr w:type="gramStart"/>
      <w:r w:rsidR="00CD149B" w:rsidRPr="00B924B5">
        <w:rPr>
          <w:rFonts w:ascii="Times New Roman" w:hAnsi="Times New Roman" w:cs="Times New Roman"/>
          <w:sz w:val="24"/>
          <w:szCs w:val="24"/>
        </w:rPr>
        <w:t>раз  (</w:t>
      </w:r>
      <w:proofErr w:type="gramEnd"/>
      <w:r w:rsidR="00CD149B"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CD149B"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ox</w:t>
      </w:r>
      <w:r w:rsidR="00CD149B" w:rsidRPr="00B924B5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CD149B" w:rsidRPr="00B924B5">
        <w:rPr>
          <w:rFonts w:ascii="Times New Roman" w:hAnsi="Times New Roman" w:cs="Times New Roman"/>
          <w:sz w:val="24"/>
          <w:szCs w:val="24"/>
        </w:rPr>
        <w:t>, 10х</w:t>
      </w:r>
      <w:r w:rsidR="00CD149B"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CD149B"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ox</w:t>
      </w:r>
      <w:r w:rsidR="00CD149B" w:rsidRPr="00B924B5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или 50х</w:t>
      </w:r>
      <w:r w:rsidR="00CD149B" w:rsidRPr="00B924B5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CD149B" w:rsidRPr="00B924B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ox</w:t>
      </w:r>
      <w:r w:rsidR="00CD149B" w:rsidRPr="00B924B5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, соответственно). Пунктирной линией на обеих панелях отмечено критическое значение отношения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>/(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</w:t>
      </w:r>
      <w:r w:rsidR="00CD149B" w:rsidRPr="00B924B5">
        <w:rPr>
          <w:rFonts w:ascii="Times New Roman" w:hAnsi="Times New Roman" w:cs="Times New Roman"/>
          <w:sz w:val="24"/>
          <w:szCs w:val="24"/>
        </w:rPr>
        <w:t>+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NADPH</w:t>
      </w:r>
      <w:r w:rsidR="00CD149B" w:rsidRPr="00B924B5">
        <w:rPr>
          <w:rFonts w:ascii="Times New Roman" w:hAnsi="Times New Roman" w:cs="Times New Roman"/>
          <w:sz w:val="24"/>
          <w:szCs w:val="24"/>
        </w:rPr>
        <w:t>), при превышении которого исчезает в гликолизе.</w:t>
      </w:r>
    </w:p>
    <w:p w14:paraId="279AD00A" w14:textId="77777777" w:rsidR="00CD149B" w:rsidRPr="00B924B5" w:rsidRDefault="00CD149B" w:rsidP="00553A28">
      <w:pPr>
        <w:tabs>
          <w:tab w:val="left" w:pos="141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9AD00B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0C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0D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0E" w14:textId="77777777" w:rsidR="00CD149B" w:rsidRPr="007335FD" w:rsidRDefault="00CD149B" w:rsidP="007335FD">
      <w:pPr>
        <w:pStyle w:val="2"/>
      </w:pPr>
      <w:bookmarkStart w:id="23" w:name="_Toc94790896"/>
      <w:r w:rsidRPr="007335FD">
        <w:lastRenderedPageBreak/>
        <w:t>4</w:t>
      </w:r>
      <w:r w:rsidRPr="007335FD">
        <w:tab/>
      </w:r>
      <w:r w:rsidRPr="007335FD">
        <w:rPr>
          <w:rStyle w:val="20"/>
          <w:b/>
        </w:rPr>
        <w:t xml:space="preserve">Экспериментальное получение </w:t>
      </w:r>
      <w:proofErr w:type="spellStart"/>
      <w:r w:rsidRPr="007335FD">
        <w:rPr>
          <w:rStyle w:val="20"/>
          <w:b/>
        </w:rPr>
        <w:t>аммоцитов</w:t>
      </w:r>
      <w:proofErr w:type="spellEnd"/>
      <w:r w:rsidRPr="007335FD">
        <w:rPr>
          <w:rStyle w:val="20"/>
          <w:b/>
        </w:rPr>
        <w:t>, содержащих GDH из печени быка и ALT</w:t>
      </w:r>
      <w:bookmarkEnd w:id="23"/>
    </w:p>
    <w:p w14:paraId="279AD00F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9AD010" w14:textId="77777777" w:rsidR="00CD149B" w:rsidRPr="007335FD" w:rsidRDefault="00CD149B" w:rsidP="007335FD">
      <w:pPr>
        <w:pStyle w:val="3"/>
      </w:pPr>
      <w:bookmarkStart w:id="24" w:name="_Toc94790897"/>
      <w:r w:rsidRPr="007335FD">
        <w:t>4.1</w:t>
      </w:r>
      <w:r w:rsidRPr="007335FD">
        <w:tab/>
        <w:t>Эффективность включения ферментов</w:t>
      </w:r>
      <w:bookmarkEnd w:id="24"/>
    </w:p>
    <w:p w14:paraId="279AD011" w14:textId="77777777" w:rsidR="00CD149B" w:rsidRPr="00B924B5" w:rsidRDefault="00CD149B" w:rsidP="00553A28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из крови различных доноров, содержащие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печени быка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сердца свиньи, были получены экспериментально с помощью метода обратимого гипоосмотического диализа (в мешках). Эффективность включения каждого из ферментов (Е, %) была оценена как процент от общего количества введенного в систему фермента, оказавшийся в эритроцитах (уравнение (25)). Выход клеток (С, %) был оценен как процент клеток, сохранившихся после процедуры включения (уравнение (26)).</w:t>
      </w:r>
    </w:p>
    <w:p w14:paraId="279AD012" w14:textId="77777777" w:rsidR="00CD149B" w:rsidRPr="00B924B5" w:rsidRDefault="00CD149B" w:rsidP="00553A28">
      <w:pPr>
        <w:tabs>
          <w:tab w:val="left" w:pos="864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B924B5">
        <w:rPr>
          <w:rFonts w:ascii="Times New Roman" w:eastAsia="Times New Roman" w:hAnsi="Times New Roman" w:cs="Times New Roman"/>
          <w:sz w:val="24"/>
          <w:szCs w:val="24"/>
        </w:rPr>
        <w:t>%)=</w:t>
      </w:r>
      <w:proofErr w:type="spellStart"/>
      <w:proofErr w:type="gramEnd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ЭБР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×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ЭБР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×100/(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RBCs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×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RBCs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  <w:t>(25),</w:t>
      </w:r>
    </w:p>
    <w:p w14:paraId="279AD013" w14:textId="77777777" w:rsidR="00CD149B" w:rsidRPr="00B924B5" w:rsidRDefault="00CD149B" w:rsidP="00553A28">
      <w:pPr>
        <w:tabs>
          <w:tab w:val="left" w:pos="86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>С (%)=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ЭБР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×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Ht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ЭБР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×100/(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RBCs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×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Ht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RBCs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ab/>
        <w:t>(26),</w:t>
      </w:r>
    </w:p>
    <w:p w14:paraId="279AD014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RBCs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ЭБР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– объемы суспензии исходных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эритрцитов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RBCs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 и суспензии полученных ЭБР, соответственно;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RBCs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ЭБР 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- активности фермента в этих суспензиях, а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Ht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RBCs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Ht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susp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ЭБР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– гематокриты этих суспензий. </w:t>
      </w:r>
    </w:p>
    <w:p w14:paraId="279AD015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>Выход клеток составил 43.31±3.76% 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n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=10). Выход инкапсуляции для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(11.69±2.02%) был достоверно выше, чем для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(2.20±0.26%) 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ANOVA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P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&lt;0.05), что хорошо согласуется с ранее опубликованными работами и объясняется тем, что молекулы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имеют большой молекулярный вес (340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кД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 и могут агрегировать с образованием молекулярных агрегатов большого размера при увеличении концентрации белка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в растворе выше 0.1-0.3 мг/мл [10,18]. Молекулы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GB"/>
        </w:rPr>
        <w:t>ALT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имеют примерно в 3 раза более низкий молекулярный вес (115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кДа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 и не способны агрегировать [19]. Таким образом, активность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которую можно получить в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аммоцитах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при использовании фермента из печени быка, может быть недостаточна для клинического применения данных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9AD016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AD017" w14:textId="77777777" w:rsidR="00CD149B" w:rsidRPr="00B924B5" w:rsidRDefault="00CD149B" w:rsidP="00584DEA">
      <w:pPr>
        <w:pStyle w:val="3"/>
      </w:pPr>
      <w:bookmarkStart w:id="25" w:name="_Toc94790898"/>
      <w:r w:rsidRPr="00B924B5">
        <w:t>4.2</w:t>
      </w:r>
      <w:r w:rsidRPr="00B924B5">
        <w:tab/>
      </w:r>
      <w:r w:rsidRPr="007335FD">
        <w:rPr>
          <w:rStyle w:val="30"/>
          <w:b/>
        </w:rPr>
        <w:t xml:space="preserve">Сравнение экспериментально измеренной и теоретически рассчитанной скорости удаления аммония из среды </w:t>
      </w:r>
      <w:proofErr w:type="spellStart"/>
      <w:r w:rsidRPr="007335FD">
        <w:rPr>
          <w:rStyle w:val="30"/>
          <w:b/>
        </w:rPr>
        <w:t>in</w:t>
      </w:r>
      <w:proofErr w:type="spellEnd"/>
      <w:r w:rsidRPr="007335FD">
        <w:rPr>
          <w:rStyle w:val="30"/>
          <w:b/>
        </w:rPr>
        <w:t xml:space="preserve"> </w:t>
      </w:r>
      <w:proofErr w:type="spellStart"/>
      <w:r w:rsidRPr="007335FD">
        <w:rPr>
          <w:rStyle w:val="30"/>
          <w:b/>
        </w:rPr>
        <w:t>vitro</w:t>
      </w:r>
      <w:proofErr w:type="spellEnd"/>
      <w:r w:rsidRPr="007335FD">
        <w:rPr>
          <w:rStyle w:val="30"/>
          <w:b/>
        </w:rPr>
        <w:t xml:space="preserve"> </w:t>
      </w:r>
      <w:proofErr w:type="spellStart"/>
      <w:r w:rsidRPr="007335FD">
        <w:rPr>
          <w:rStyle w:val="30"/>
          <w:b/>
        </w:rPr>
        <w:t>аммоцитами</w:t>
      </w:r>
      <w:proofErr w:type="spellEnd"/>
      <w:r w:rsidRPr="007335FD">
        <w:rPr>
          <w:rStyle w:val="30"/>
          <w:b/>
        </w:rPr>
        <w:t>, содержащими GDH из печени быка и ALT</w:t>
      </w:r>
      <w:bookmarkEnd w:id="25"/>
    </w:p>
    <w:p w14:paraId="279AD018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Теоретически рассчитанная скорость потребления аммония была сравнена с экспериментально измеренной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vitro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скоростью его потребления для двух ферментов (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), добавленных к буферному раствору или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непосредстввенно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, или внутри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 xml:space="preserve"> (Рисунок 14). Полученные результаты показали, что разработанная математическая модель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</w:rPr>
        <w:t>аммоцита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</w:rPr>
        <w:t>, содержащего GDH из печени быка и ALT, прекрасно описывает экспериментальные данные.</w:t>
      </w:r>
    </w:p>
    <w:p w14:paraId="279AD019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79AD1AF" wp14:editId="279AD1B0">
            <wp:simplePos x="0" y="0"/>
            <wp:positionH relativeFrom="margin">
              <wp:posOffset>-60960</wp:posOffset>
            </wp:positionH>
            <wp:positionV relativeFrom="margin">
              <wp:posOffset>76835</wp:posOffset>
            </wp:positionV>
            <wp:extent cx="5940425" cy="3197225"/>
            <wp:effectExtent l="0" t="0" r="3175" b="317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AD01A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B924B5">
        <w:rPr>
          <w:rFonts w:ascii="Times New Roman" w:hAnsi="Times New Roman" w:cs="Times New Roman"/>
          <w:b/>
          <w:sz w:val="24"/>
          <w:szCs w:val="24"/>
        </w:rPr>
        <w:t xml:space="preserve">Рисунок 14. </w:t>
      </w:r>
      <w:r w:rsidRPr="00B924B5">
        <w:rPr>
          <w:rFonts w:ascii="Times New Roman" w:hAnsi="Times New Roman" w:cs="Times New Roman"/>
          <w:sz w:val="24"/>
          <w:szCs w:val="24"/>
        </w:rPr>
        <w:t>Сравнение теоретически рассчитанной и экспериментально измеренной скорости утилизации аммония. (</w:t>
      </w:r>
      <w:r w:rsidRPr="00B924B5">
        <w:rPr>
          <w:rFonts w:ascii="Times New Roman" w:hAnsi="Times New Roman" w:cs="Times New Roman"/>
          <w:b/>
          <w:sz w:val="24"/>
          <w:szCs w:val="24"/>
        </w:rPr>
        <w:t>а</w:t>
      </w:r>
      <w:r w:rsidRPr="00B924B5">
        <w:rPr>
          <w:rFonts w:ascii="Times New Roman" w:hAnsi="Times New Roman" w:cs="Times New Roman"/>
          <w:sz w:val="24"/>
          <w:szCs w:val="24"/>
        </w:rPr>
        <w:t xml:space="preserve">) – Смесь растворов ферментов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 добавлена непосредственно в буфер, содержащий 0.5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аммония. Финальные активности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смеси составляли 0.3 МЕ/мл и 1.5 МЕ/мл смеси, соответственно. </w:t>
      </w:r>
      <w:r w:rsidRPr="00B924B5">
        <w:rPr>
          <w:rFonts w:ascii="Times New Roman" w:hAnsi="Times New Roman" w:cs="Times New Roman"/>
          <w:sz w:val="24"/>
          <w:szCs w:val="24"/>
        </w:rPr>
        <w:fldChar w:fldCharType="begin"/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HYPERLINK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"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E</w:instrText>
      </w:r>
      <w:r w:rsidRPr="00B924B5">
        <w:rPr>
          <w:rFonts w:ascii="Times New Roman" w:hAnsi="Times New Roman" w:cs="Times New Roman"/>
          <w:sz w:val="24"/>
          <w:szCs w:val="24"/>
        </w:rPr>
        <w:instrText>:\\Файлы с флешки-4\\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Articles</w:instrText>
      </w:r>
      <w:r w:rsidRPr="00B924B5">
        <w:rPr>
          <w:rFonts w:ascii="Times New Roman" w:hAnsi="Times New Roman" w:cs="Times New Roman"/>
          <w:sz w:val="24"/>
          <w:szCs w:val="24"/>
        </w:rPr>
        <w:instrText>\\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Ammocytes</w:instrText>
      </w:r>
      <w:r w:rsidRPr="00B924B5">
        <w:rPr>
          <w:rFonts w:ascii="Times New Roman" w:hAnsi="Times New Roman" w:cs="Times New Roman"/>
          <w:sz w:val="24"/>
          <w:szCs w:val="24"/>
        </w:rPr>
        <w:instrText>\\5-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Sci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Reports</w:instrText>
      </w:r>
      <w:r w:rsidRPr="00B924B5">
        <w:rPr>
          <w:rFonts w:ascii="Times New Roman" w:hAnsi="Times New Roman" w:cs="Times New Roman"/>
          <w:sz w:val="24"/>
          <w:szCs w:val="24"/>
        </w:rPr>
        <w:instrText>\\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Review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3\\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Manuscript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and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figures</w:instrText>
      </w:r>
      <w:r w:rsidRPr="00B924B5">
        <w:rPr>
          <w:rFonts w:ascii="Times New Roman" w:hAnsi="Times New Roman" w:cs="Times New Roman"/>
          <w:sz w:val="24"/>
          <w:szCs w:val="24"/>
        </w:rPr>
        <w:instrText>.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doc</w:instrText>
      </w:r>
      <w:r w:rsidRPr="00B924B5">
        <w:rPr>
          <w:rFonts w:ascii="Times New Roman" w:hAnsi="Times New Roman" w:cs="Times New Roman"/>
          <w:sz w:val="24"/>
          <w:szCs w:val="24"/>
        </w:rPr>
        <w:instrText>" \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s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"1,74811,75791,0,,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Comparison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of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the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instrText>theoretically</w:instrText>
      </w:r>
      <w:r w:rsidRPr="00B924B5">
        <w:rPr>
          <w:rFonts w:ascii="Times New Roman" w:hAnsi="Times New Roman" w:cs="Times New Roman"/>
          <w:sz w:val="24"/>
          <w:szCs w:val="24"/>
        </w:rPr>
        <w:instrText xml:space="preserve"> " </w:instrText>
      </w:r>
      <w:r w:rsidRPr="00B924B5">
        <w:rPr>
          <w:rFonts w:ascii="Times New Roman" w:hAnsi="Times New Roman" w:cs="Times New Roman"/>
          <w:sz w:val="24"/>
          <w:szCs w:val="24"/>
        </w:rPr>
        <w:fldChar w:fldCharType="separate"/>
      </w:r>
      <w:r w:rsidRPr="00B924B5">
        <w:rPr>
          <w:rFonts w:ascii="Times New Roman" w:hAnsi="Times New Roman" w:cs="Times New Roman"/>
          <w:sz w:val="24"/>
          <w:szCs w:val="24"/>
        </w:rPr>
        <w:t xml:space="preserve">Представлены средние величины ±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>=4). (</w:t>
      </w:r>
      <w:r w:rsidRPr="00B924B5">
        <w:rPr>
          <w:rFonts w:ascii="Times New Roman" w:hAnsi="Times New Roman" w:cs="Times New Roman"/>
          <w:b/>
          <w:sz w:val="24"/>
          <w:szCs w:val="24"/>
        </w:rPr>
        <w:t>б</w:t>
      </w:r>
      <w:r w:rsidRPr="00B924B5">
        <w:rPr>
          <w:rFonts w:ascii="Times New Roman" w:hAnsi="Times New Roman" w:cs="Times New Roman"/>
          <w:sz w:val="24"/>
          <w:szCs w:val="24"/>
        </w:rPr>
        <w:t xml:space="preserve">) – Экспериментальная и теоретически рассчитанная скорость потребления аммония ЭБР, содержащими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. Финальные концентрации ферментов были равны 0.10 и 0.28 МЕ/мл суспензии, соответственно (гематокрит суспензии составлял в среднем 9.3%). Представлены средние величины ±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=3). </w:t>
      </w:r>
      <w:r w:rsidRPr="00B924B5">
        <w:rPr>
          <w:rFonts w:ascii="Times New Roman" w:hAnsi="Times New Roman" w:cs="Times New Roman"/>
          <w:b/>
          <w:sz w:val="24"/>
          <w:szCs w:val="24"/>
        </w:rPr>
        <w:t>(в</w:t>
      </w:r>
      <w:r w:rsidRPr="00B924B5">
        <w:rPr>
          <w:rFonts w:ascii="Times New Roman" w:hAnsi="Times New Roman" w:cs="Times New Roman"/>
          <w:sz w:val="24"/>
          <w:szCs w:val="24"/>
        </w:rPr>
        <w:t xml:space="preserve">) – Сравнение рассчитанной и экспериментально измеренной стационарной скорости потребления аммония в среде (без эритроцитов) при различных отношениях активностей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. Представлены средние величины ±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>=4). Моделирование проводили при условии физиологических концентраций всех метаболитов гликолиза.</w:t>
      </w:r>
    </w:p>
    <w:p w14:paraId="279AD01B" w14:textId="77777777" w:rsidR="00CD149B" w:rsidRPr="00B924B5" w:rsidRDefault="00CD149B" w:rsidP="00553A28">
      <w:pPr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79AD01C" w14:textId="77777777" w:rsidR="00CD149B" w:rsidRPr="00B924B5" w:rsidRDefault="00CD149B" w:rsidP="007335FD">
      <w:pPr>
        <w:pStyle w:val="3"/>
      </w:pPr>
      <w:bookmarkStart w:id="26" w:name="_Toc94790899"/>
      <w:r w:rsidRPr="00B924B5">
        <w:t>4.3</w:t>
      </w:r>
      <w:r w:rsidRPr="00B924B5">
        <w:tab/>
      </w:r>
      <w:r w:rsidRPr="007335FD">
        <w:rPr>
          <w:rStyle w:val="30"/>
          <w:b/>
        </w:rPr>
        <w:t xml:space="preserve">Удаление аммония </w:t>
      </w:r>
      <w:proofErr w:type="spellStart"/>
      <w:r w:rsidRPr="007335FD">
        <w:rPr>
          <w:rStyle w:val="30"/>
          <w:b/>
        </w:rPr>
        <w:t>in</w:t>
      </w:r>
      <w:proofErr w:type="spellEnd"/>
      <w:r w:rsidRPr="007335FD">
        <w:rPr>
          <w:rStyle w:val="30"/>
          <w:b/>
        </w:rPr>
        <w:t xml:space="preserve"> </w:t>
      </w:r>
      <w:proofErr w:type="spellStart"/>
      <w:r w:rsidRPr="007335FD">
        <w:rPr>
          <w:rStyle w:val="30"/>
          <w:b/>
        </w:rPr>
        <w:t>vivo</w:t>
      </w:r>
      <w:proofErr w:type="spellEnd"/>
      <w:r w:rsidRPr="007335FD">
        <w:rPr>
          <w:rStyle w:val="30"/>
          <w:b/>
        </w:rPr>
        <w:t xml:space="preserve"> в модели </w:t>
      </w:r>
      <w:proofErr w:type="spellStart"/>
      <w:r w:rsidRPr="007335FD">
        <w:rPr>
          <w:rStyle w:val="30"/>
          <w:b/>
        </w:rPr>
        <w:t>гипераммониемии</w:t>
      </w:r>
      <w:proofErr w:type="spellEnd"/>
      <w:r w:rsidRPr="007335FD">
        <w:rPr>
          <w:rStyle w:val="30"/>
          <w:b/>
        </w:rPr>
        <w:t xml:space="preserve"> у мышей</w:t>
      </w:r>
      <w:bookmarkEnd w:id="26"/>
    </w:p>
    <w:p w14:paraId="279AD01D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Проверку возможности функционирования новых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vivo</w:t>
      </w:r>
      <w:r w:rsidRPr="00B924B5">
        <w:rPr>
          <w:rFonts w:ascii="Times New Roman" w:hAnsi="Times New Roman" w:cs="Times New Roman"/>
          <w:sz w:val="24"/>
          <w:szCs w:val="24"/>
        </w:rPr>
        <w:t xml:space="preserve"> провели на мышиной модели индуцированной НА. Для этого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были получены методом гипоосмотического диализа в мешках из крови мышей (линия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Swiss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самцы, вес 25-30 г.). Диализ проводили при 4 </w:t>
      </w:r>
      <w:proofErr w:type="spellStart"/>
      <w:r w:rsidRPr="00B924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924B5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2 ч при активности добавленных в суспензию клеток ферментов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>+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) 10 МЕ/мл. Финальный гематокрит составлял 65%, а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осмоляльность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гипоосмотического буфера была равна 60-65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/кг. Процедуры </w:t>
      </w:r>
      <w:r w:rsidRPr="00B924B5">
        <w:rPr>
          <w:rFonts w:ascii="Times New Roman" w:hAnsi="Times New Roman" w:cs="Times New Roman"/>
          <w:sz w:val="24"/>
          <w:szCs w:val="24"/>
        </w:rPr>
        <w:lastRenderedPageBreak/>
        <w:t xml:space="preserve">запечатывания и отмывания полученных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были стандартные. Средняя полученная удельная активность обоих ферментов в ЭБР была невысока и составляла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mean</w:t>
      </w:r>
      <w:r w:rsidRPr="00B924B5">
        <w:rPr>
          <w:rFonts w:ascii="Times New Roman" w:hAnsi="Times New Roman" w:cs="Times New Roman"/>
          <w:sz w:val="24"/>
          <w:szCs w:val="24"/>
        </w:rPr>
        <w:t>±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SEM</w:t>
      </w:r>
      <w:r w:rsidRPr="00B924B5">
        <w:rPr>
          <w:rFonts w:ascii="Times New Roman" w:hAnsi="Times New Roman" w:cs="Times New Roman"/>
          <w:sz w:val="24"/>
          <w:szCs w:val="24"/>
        </w:rPr>
        <w:t>) 1.313±0.106 МЕ/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мл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ЭБР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B924B5">
        <w:rPr>
          <w:rFonts w:ascii="Times New Roman" w:hAnsi="Times New Roman" w:cs="Times New Roman"/>
          <w:sz w:val="24"/>
          <w:szCs w:val="24"/>
        </w:rPr>
        <w:t xml:space="preserve"> 1.612±0.197 МЕ/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мл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ЭБР</w:t>
      </w:r>
      <w:proofErr w:type="spellEnd"/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</w:rPr>
        <w:t xml:space="preserve"> для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>, соответственно (среднее±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SEM</w:t>
      </w:r>
      <w:r w:rsidRPr="00B924B5">
        <w:rPr>
          <w:rFonts w:ascii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=12). Чтобы определить функциональную активность полученных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они были разбавлены в 2 раза физиологическим раствором, содержащим дополнительно 5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глюкозы, и введены мышам в хвостовую вену по 0.4 мл. Финальный гематокрит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в крови мышей составлял примерно 5.4%. Немедленно после этого животным было введен ацетат аммония в дозе 2.5 ммоль/кг, что привело к быстрому подъему концентрации аммония в крови до примерно 1.1-1.2 ммоль/л. Эта концентрация не вызывает каких-либо поведенческих реакций, т.к.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LD</w:t>
      </w:r>
      <w:proofErr w:type="gramStart"/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 xml:space="preserve">100 </w:t>
      </w:r>
      <w:r w:rsidRPr="00B924B5">
        <w:rPr>
          <w:rFonts w:ascii="Times New Roman" w:hAnsi="Times New Roman" w:cs="Times New Roman"/>
          <w:sz w:val="24"/>
          <w:szCs w:val="24"/>
        </w:rPr>
        <w:t xml:space="preserve"> для</w:t>
      </w:r>
      <w:proofErr w:type="gramEnd"/>
      <w:r w:rsidRPr="00B924B5">
        <w:rPr>
          <w:rFonts w:ascii="Times New Roman" w:hAnsi="Times New Roman" w:cs="Times New Roman"/>
          <w:sz w:val="24"/>
          <w:szCs w:val="24"/>
        </w:rPr>
        <w:t xml:space="preserve"> мышей составляет 12 ммоль/кг. Кровь для анализа отбирали из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ретроорбитального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синуса через 5, 30, 60 и 120 мин после инъекции ацетата аммония. Аммоний в образцах был определен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микрофлюориметрическим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методом по снижению флюоресценции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((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λ</w:t>
      </w:r>
      <w:proofErr w:type="spellStart"/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возбужд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=340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λ</w:t>
      </w:r>
      <w:proofErr w:type="spellStart"/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испуск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=450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) в реакции аммония с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AKG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реакции [20]. В качестве контроля использовали животных, которые получали клетки, которые прошли все этапы процедуры загрузки, но в отсутствии ферментов. </w:t>
      </w:r>
    </w:p>
    <w:p w14:paraId="279AD01E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Полученные результаты представлены на Рисунке 15. Так как были использованы здоровые животные, большая часть введенного аммония быстро выводилась их здоровой печенью даже в отсутствии введенных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(см. кривую контроля на Рисунке 15). Однако скорость утилизации аммония в присутствии ЭБР была почти в 2 разы выше, чем у контрольных животных. Кроме того, ЭБР продолжали работать даже через 2 часа после введения, что отличает их от биореакторов, полученных ранее с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9AD01F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Таким образом, приготовленные ЭБР активно удаляли аммоний из кровотока мышей. При пересчете на 100% гематокрит скорость переработки аммония полученными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аммоцитами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составила примерно 2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ммол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ч×л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ЭБР</w:t>
      </w:r>
      <w:proofErr w:type="spellEnd"/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Pr="00B924B5">
        <w:rPr>
          <w:rFonts w:ascii="Times New Roman" w:hAnsi="Times New Roman" w:cs="Times New Roman"/>
          <w:sz w:val="24"/>
          <w:szCs w:val="24"/>
        </w:rPr>
        <w:t xml:space="preserve">Как показали проведенные ранее расчеты эта скорость не является максимально возможной и может быть увеличена при увеличении активности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ЭБР по крайней мере в 2.5-3 раза. </w:t>
      </w:r>
    </w:p>
    <w:p w14:paraId="279AD020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21" w14:textId="77777777" w:rsidR="00CD149B" w:rsidRPr="00B924B5" w:rsidRDefault="00CD149B" w:rsidP="007335FD">
      <w:pPr>
        <w:pStyle w:val="2"/>
      </w:pPr>
      <w:bookmarkStart w:id="27" w:name="_Toc94790900"/>
      <w:r w:rsidRPr="00B924B5">
        <w:t>5</w:t>
      </w:r>
      <w:r w:rsidRPr="00B924B5">
        <w:tab/>
      </w:r>
      <w:r w:rsidRPr="007335FD">
        <w:rPr>
          <w:rStyle w:val="20"/>
          <w:b/>
        </w:rPr>
        <w:t xml:space="preserve">Разработка </w:t>
      </w:r>
      <w:proofErr w:type="spellStart"/>
      <w:r w:rsidRPr="007335FD">
        <w:rPr>
          <w:rStyle w:val="20"/>
          <w:b/>
        </w:rPr>
        <w:t>аммоцитов</w:t>
      </w:r>
      <w:proofErr w:type="spellEnd"/>
      <w:r w:rsidRPr="007335FD">
        <w:rPr>
          <w:rStyle w:val="20"/>
          <w:b/>
        </w:rPr>
        <w:t xml:space="preserve"> с увеличенной активностью GDH в клетках</w:t>
      </w:r>
      <w:bookmarkEnd w:id="27"/>
    </w:p>
    <w:p w14:paraId="279AD022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79AD023" w14:textId="77777777" w:rsidR="00CD149B" w:rsidRPr="00B924B5" w:rsidRDefault="00CD149B" w:rsidP="007335FD">
      <w:pPr>
        <w:pStyle w:val="3"/>
      </w:pPr>
      <w:bookmarkStart w:id="28" w:name="_Toc94790901"/>
      <w:r w:rsidRPr="00B924B5">
        <w:t>5.1</w:t>
      </w:r>
      <w:r w:rsidRPr="00B924B5">
        <w:tab/>
      </w:r>
      <w:r w:rsidRPr="007335FD">
        <w:rPr>
          <w:rStyle w:val="30"/>
          <w:b/>
        </w:rPr>
        <w:t>Выбор метода инкапсуляции и типа включаемого фермента</w:t>
      </w:r>
      <w:bookmarkEnd w:id="28"/>
      <w:r w:rsidRPr="00B924B5">
        <w:t xml:space="preserve"> </w:t>
      </w:r>
    </w:p>
    <w:p w14:paraId="279AD024" w14:textId="610A778C" w:rsidR="00CD149B" w:rsidRPr="00B924B5" w:rsidRDefault="00EA0960" w:rsidP="00553A28">
      <w:pPr>
        <w:tabs>
          <w:tab w:val="left" w:pos="90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7CF1E79" wp14:editId="45B0AA5F">
            <wp:simplePos x="0" y="0"/>
            <wp:positionH relativeFrom="margin">
              <wp:posOffset>268605</wp:posOffset>
            </wp:positionH>
            <wp:positionV relativeFrom="page">
              <wp:posOffset>2415540</wp:posOffset>
            </wp:positionV>
            <wp:extent cx="5229225" cy="4023360"/>
            <wp:effectExtent l="0" t="0" r="952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Чтобы получить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, которые могут быть перспективны для клинического использования, необходимо повысить в них активность основного перерабатывающего аммоний фермента. Низкая эффективность включения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в эритроциты может быть связана как с неоптимальным методом включения, так и со свойствами самого фермента. Обычно используемый для этого фермент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из печени быка имеет молекулы большого </w:t>
      </w:r>
    </w:p>
    <w:p w14:paraId="279AD025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26" w14:textId="2E7D8854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27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b/>
          <w:sz w:val="24"/>
          <w:szCs w:val="24"/>
        </w:rPr>
        <w:t>Рисунок 15.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Снижение концентрации аммония (АММ) в крови мышей, у которых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гипераммониемия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была индуцирована однократной инъекцией ацетата аммония в дозе 2.5 ммоль/кг. Каждое опытное животное (</w:t>
      </w:r>
      <w:r w:rsidRPr="00B924B5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=12) получало по 135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мкл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ЭБР, содержащих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 (1.313±0.106 и 1.612±0.197 МЕ/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мл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ЭБР</w:t>
      </w:r>
      <w:proofErr w:type="spellEnd"/>
      <w:r w:rsidRPr="00B924B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s</w:t>
      </w:r>
      <w:r w:rsidRPr="00B924B5">
        <w:rPr>
          <w:rFonts w:ascii="Times New Roman" w:hAnsi="Times New Roman" w:cs="Times New Roman"/>
          <w:sz w:val="24"/>
          <w:szCs w:val="24"/>
        </w:rPr>
        <w:t xml:space="preserve"> для </w:t>
      </w:r>
      <w:r w:rsidRPr="00B924B5">
        <w:rPr>
          <w:rFonts w:ascii="Times New Roman" w:hAnsi="Times New Roman" w:cs="Times New Roman"/>
          <w:sz w:val="24"/>
          <w:szCs w:val="24"/>
          <w:lang w:val="en-GB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GB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соответственно) в физиологическом растворе с 5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глюкозы (общий объем 0.4 мл) (кривая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ЭБР+Контроль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). Финальный гематокрит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составлял  примерно 5.4%. В качестве контроля использовали животных, которые получали клетки, обработанные точно как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, но в отсутствии добавленных ферментов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>=12) (кривая Контроль).</w:t>
      </w:r>
    </w:p>
    <w:p w14:paraId="279AD028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79AD029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2A" w14:textId="77777777" w:rsidR="00CD149B" w:rsidRPr="00B924B5" w:rsidRDefault="00CD149B" w:rsidP="00553A28">
      <w:pPr>
        <w:tabs>
          <w:tab w:val="left" w:pos="900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lastRenderedPageBreak/>
        <w:t xml:space="preserve">размера, низкую удельную активность коммерческого препарата фермента (примерно 40 МЕ/мл белка) и агрегирует при повышении его концентрации в растворе выше 0.1 мг/мл [10]. Чтобы повысить эффективность включения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эритроциты, работу проводили по двум направлениям: 1) выбрали наиболее эффективный метод включения фермента в эритроциты, сравнив различные методы, использующие гипоосмотическое воздействие на клетки; 2) попытались увеличить активность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внутри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за счет включения фермента из другого источника (бактериальной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.). Эта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имеет более высокую удельную активность (примерно 400 МЕ/мг белка) и, предположительно, не склонна к агрегации [21].</w:t>
      </w:r>
    </w:p>
    <w:p w14:paraId="279AD02B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В настоящее время считается, что наиболее мягкими и щадящими методами для включения в эритроциты ферментов являются гипоосмотические методы [22-24]. Поэтому мы сравнили выходы инкапсуляции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печени быка, полученные тремя такими методами (обратимым лизисом, гипоосмотическим диализом в мешках и проточным гипоосмотическим диализом) при различных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осмоляльностях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среды (Рисунок 16). Выходы были оценены в соответствии с уравнениями (25,26). Полученные результаты показали, что оптимальной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осмоляльностью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с точки зрения выхода инкапсуляции, является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осмоляльность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90-100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/кг. При этом выход, полученный для проточного гипоосмотического диализа почти в 2 </w:t>
      </w:r>
      <w:proofErr w:type="gramStart"/>
      <w:r w:rsidRPr="00B924B5">
        <w:rPr>
          <w:rFonts w:ascii="Times New Roman" w:hAnsi="Times New Roman" w:cs="Times New Roman"/>
          <w:sz w:val="24"/>
          <w:szCs w:val="24"/>
        </w:rPr>
        <w:t>раза</w:t>
      </w:r>
      <w:proofErr w:type="gramEnd"/>
      <w:r w:rsidRPr="00B924B5">
        <w:rPr>
          <w:rFonts w:ascii="Times New Roman" w:hAnsi="Times New Roman" w:cs="Times New Roman"/>
          <w:sz w:val="24"/>
          <w:szCs w:val="24"/>
        </w:rPr>
        <w:t xml:space="preserve"> превышал полученные другими методами (Рисунок 16 (а)). Выход клеток при этом также был высоким (Рисунок 16 (б)). Таким образом, для дальнейшей работы был выбран метод обратимого гипоосмотического проточного диализа.</w:t>
      </w:r>
    </w:p>
    <w:p w14:paraId="279AD02C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Далее была исследована эффективность включения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 от концентрации этого белка в растворе. Полученная зависимость вместе с аналогичной зависимостью для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печени быка представлена на Рисунке 17. Полученные результаты подтвердили наше предположение о том, что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,</w:t>
      </w:r>
      <w:r w:rsidRPr="00B924B5">
        <w:rPr>
          <w:rFonts w:ascii="Times New Roman" w:hAnsi="Times New Roman" w:cs="Times New Roman"/>
          <w:i/>
          <w:sz w:val="24"/>
          <w:szCs w:val="24"/>
        </w:rPr>
        <w:t>.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отличие от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печени быка, не агрегирует при повышении ее концентрации в растворе.</w:t>
      </w:r>
    </w:p>
    <w:p w14:paraId="279AD02D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Таким образом, было показано, что использование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i/>
          <w:sz w:val="24"/>
          <w:szCs w:val="24"/>
        </w:rPr>
        <w:t>.</w:t>
      </w:r>
      <w:r w:rsidRPr="00B924B5">
        <w:rPr>
          <w:rFonts w:ascii="Times New Roman" w:hAnsi="Times New Roman" w:cs="Times New Roman"/>
          <w:sz w:val="24"/>
          <w:szCs w:val="24"/>
        </w:rPr>
        <w:t xml:space="preserve"> почти в 20 раз увеличивает удельную активность внутри ЭБР по сравнению с аналогичной активностью, полученной при той же концентрации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печени быка в растворе при загрузке (1.4 мг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/мл суспензии). Это позволяет надеяться на перспективность использования данного фермента для его включения в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 Однако приведенные выше данные по загрузке в эритроциты различных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были получены без параллельного включения в эритроциты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. Поэтому далее мы получили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методом проточного гипоосмотического диализа, включающие оба фермента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i/>
          <w:sz w:val="24"/>
          <w:szCs w:val="24"/>
        </w:rPr>
        <w:t>.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) и исследовали эффективности включения обоих ферментов и свойства полученных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 Подобные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были получены экспериментально впервые.</w:t>
      </w:r>
    </w:p>
    <w:p w14:paraId="279AD02E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2F" w14:textId="77777777" w:rsidR="00CD149B" w:rsidRPr="00B924B5" w:rsidRDefault="001A5224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noProof/>
          <w:lang w:eastAsia="ru-RU"/>
        </w:rPr>
        <w:object w:dxaOrig="1440" w:dyaOrig="1440" w14:anchorId="279AD1B3">
          <v:shape id="_x0000_s1027" type="#_x0000_t75" style="position:absolute;left:0;text-align:left;margin-left:-12.6pt;margin-top:18.25pt;width:450.15pt;height:314.6pt;z-index:251662336;mso-position-horizontal-relative:text;mso-position-vertical-relative:text">
            <v:imagedata r:id="rId27" o:title=""/>
            <w10:wrap type="topAndBottom"/>
          </v:shape>
          <o:OLEObject Type="Embed" ProgID="Origin50.Graph" ShapeID="_x0000_s1027" DrawAspect="Content" ObjectID="_1747570594" r:id="rId28"/>
        </w:object>
      </w:r>
    </w:p>
    <w:p w14:paraId="279AD030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31" w14:textId="77777777" w:rsidR="00CD149B" w:rsidRPr="00B924B5" w:rsidRDefault="00CD149B" w:rsidP="00553A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ton-Regular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b/>
          <w:sz w:val="24"/>
          <w:szCs w:val="24"/>
        </w:rPr>
        <w:t>Рисунок 16.</w:t>
      </w:r>
      <w:r w:rsidRPr="00B924B5">
        <w:rPr>
          <w:rFonts w:ascii="Times New Roman" w:hAnsi="Times New Roman" w:cs="Times New Roman"/>
          <w:sz w:val="24"/>
          <w:szCs w:val="24"/>
        </w:rPr>
        <w:t xml:space="preserve"> Зависимость эффективности инкапсуляции (</w:t>
      </w:r>
      <w:r w:rsidRPr="00B924B5">
        <w:rPr>
          <w:rFonts w:ascii="Times New Roman" w:hAnsi="Times New Roman" w:cs="Times New Roman"/>
          <w:i/>
          <w:sz w:val="24"/>
          <w:szCs w:val="24"/>
        </w:rPr>
        <w:t>а</w:t>
      </w:r>
      <w:r w:rsidRPr="00B924B5">
        <w:rPr>
          <w:rFonts w:ascii="Times New Roman" w:hAnsi="Times New Roman" w:cs="Times New Roman"/>
          <w:sz w:val="24"/>
          <w:szCs w:val="24"/>
        </w:rPr>
        <w:t>) ГДГ из печени быка и выхода эритроцитов (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B924B5">
        <w:rPr>
          <w:rFonts w:ascii="Times New Roman" w:hAnsi="Times New Roman" w:cs="Times New Roman"/>
          <w:sz w:val="24"/>
          <w:szCs w:val="24"/>
        </w:rPr>
        <w:t xml:space="preserve">) от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гипоосмотического буфера при включении фермента в эритроциты тремя различными гипоосмотическими методами (лизис, диализ в мешке, проточный диализ). Число экспериментов 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B924B5">
        <w:rPr>
          <w:rFonts w:ascii="Times New Roman" w:hAnsi="Times New Roman" w:cs="Times New Roman"/>
          <w:sz w:val="24"/>
          <w:szCs w:val="24"/>
        </w:rPr>
        <w:t xml:space="preserve">= 10 и 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B924B5">
        <w:rPr>
          <w:rFonts w:ascii="Times New Roman" w:hAnsi="Times New Roman" w:cs="Times New Roman"/>
          <w:sz w:val="24"/>
          <w:szCs w:val="24"/>
        </w:rPr>
        <w:t xml:space="preserve">= 7 для всех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осмоляльностей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в случае лизиса или диализа соответственно. Для проточного диализа 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B924B5">
        <w:rPr>
          <w:rFonts w:ascii="Times New Roman" w:hAnsi="Times New Roman" w:cs="Times New Roman"/>
          <w:sz w:val="24"/>
          <w:szCs w:val="24"/>
        </w:rPr>
        <w:t xml:space="preserve">= 8 (при 75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/кг), 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B924B5">
        <w:rPr>
          <w:rFonts w:ascii="Times New Roman" w:hAnsi="Times New Roman" w:cs="Times New Roman"/>
          <w:sz w:val="24"/>
          <w:szCs w:val="24"/>
        </w:rPr>
        <w:t xml:space="preserve">= 9 (при 100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/кг) и 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B924B5">
        <w:rPr>
          <w:rFonts w:ascii="Times New Roman" w:hAnsi="Times New Roman" w:cs="Times New Roman"/>
          <w:sz w:val="24"/>
          <w:szCs w:val="24"/>
        </w:rPr>
        <w:t xml:space="preserve">= 5 (при 120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/кг). Представлены средние значения ± стандартная ошибка среднего. * – Процент инкапсуляции достоверно отличается от значения, полученного для метода лизиса при 120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 и для проточного диализа при 75 и 100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 (ANOVA, 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р </w:t>
      </w:r>
      <w:proofErr w:type="gramStart"/>
      <w:r w:rsidRPr="00B924B5">
        <w:rPr>
          <w:rFonts w:ascii="Times New Roman" w:hAnsi="Times New Roman" w:cs="Times New Roman"/>
          <w:sz w:val="24"/>
          <w:szCs w:val="24"/>
        </w:rPr>
        <w:t>&lt; 0.05</w:t>
      </w:r>
      <w:proofErr w:type="gramEnd"/>
      <w:r w:rsidRPr="00B924B5">
        <w:rPr>
          <w:rFonts w:ascii="Times New Roman" w:hAnsi="Times New Roman" w:cs="Times New Roman"/>
          <w:sz w:val="24"/>
          <w:szCs w:val="24"/>
        </w:rPr>
        <w:t xml:space="preserve">). ** –Значение инкапсуляции достоверно отличается от всех остальных, кроме полученного для проточного диализа при 75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/кг (ANOVA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, р </w:t>
      </w:r>
      <w:proofErr w:type="gramStart"/>
      <w:r w:rsidRPr="00B924B5">
        <w:rPr>
          <w:rFonts w:ascii="Times New Roman" w:hAnsi="Times New Roman" w:cs="Times New Roman"/>
          <w:sz w:val="24"/>
          <w:szCs w:val="24"/>
        </w:rPr>
        <w:t>&lt; 0.05</w:t>
      </w:r>
      <w:proofErr w:type="gramEnd"/>
      <w:r w:rsidRPr="00B924B5">
        <w:rPr>
          <w:rFonts w:ascii="Times New Roman" w:hAnsi="Times New Roman" w:cs="Times New Roman"/>
          <w:sz w:val="24"/>
          <w:szCs w:val="24"/>
        </w:rPr>
        <w:t xml:space="preserve">). *** – Выход клеток достоверно отличается от выходов клеток, полученных другими методами при тех же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осмоляльностях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и от полученного методом диализа при 120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 (ANOVA, </w:t>
      </w:r>
      <w:r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р </w:t>
      </w:r>
      <w:proofErr w:type="gramStart"/>
      <w:r w:rsidRPr="00B924B5">
        <w:rPr>
          <w:rFonts w:ascii="Times New Roman" w:hAnsi="Times New Roman" w:cs="Times New Roman"/>
          <w:sz w:val="24"/>
          <w:szCs w:val="24"/>
        </w:rPr>
        <w:t>&lt; 0.05</w:t>
      </w:r>
      <w:proofErr w:type="gramEnd"/>
      <w:r w:rsidRPr="00B924B5">
        <w:rPr>
          <w:rFonts w:ascii="Times New Roman" w:hAnsi="Times New Roman" w:cs="Times New Roman"/>
          <w:sz w:val="24"/>
          <w:szCs w:val="24"/>
        </w:rPr>
        <w:t xml:space="preserve">). **** – Выход клеток достоверно отличается от выходов </w:t>
      </w:r>
      <w:r w:rsidRPr="00B924B5">
        <w:rPr>
          <w:rFonts w:ascii="Times New Roman" w:hAnsi="Times New Roman" w:cs="Times New Roman"/>
          <w:sz w:val="24"/>
          <w:szCs w:val="24"/>
        </w:rPr>
        <w:lastRenderedPageBreak/>
        <w:t xml:space="preserve">клеток, полученных методом </w:t>
      </w:r>
      <w:r w:rsidRPr="00B924B5">
        <w:rPr>
          <w:rFonts w:ascii="Times New Roman" w:eastAsia="Newton-Regular" w:hAnsi="Times New Roman" w:cs="Times New Roman"/>
          <w:sz w:val="24"/>
          <w:szCs w:val="24"/>
        </w:rPr>
        <w:t xml:space="preserve">диализа при любых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</w:rPr>
        <w:t>осмоляльностях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</w:rPr>
        <w:t xml:space="preserve"> буфера, методом лизиса при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</w:rPr>
        <w:t>осмоляльностях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</w:rPr>
        <w:t xml:space="preserve"> 75 и 100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</w:rPr>
        <w:t xml:space="preserve">/кг и методом проточного диализа при 75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</w:rPr>
        <w:t>/кг (ANOVA</w:t>
      </w:r>
      <w:r w:rsidRPr="00B924B5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, р </w:t>
      </w:r>
      <w:proofErr w:type="gramStart"/>
      <w:r w:rsidRPr="00B924B5">
        <w:rPr>
          <w:rFonts w:ascii="Times New Roman" w:eastAsia="Newton-Regular" w:hAnsi="Times New Roman" w:cs="Times New Roman"/>
          <w:sz w:val="24"/>
          <w:szCs w:val="24"/>
        </w:rPr>
        <w:t>&lt; 0.05</w:t>
      </w:r>
      <w:proofErr w:type="gramEnd"/>
      <w:r w:rsidRPr="00B924B5">
        <w:rPr>
          <w:rFonts w:ascii="Times New Roman" w:eastAsia="Newton-Regular" w:hAnsi="Times New Roman" w:cs="Times New Roman"/>
          <w:sz w:val="24"/>
          <w:szCs w:val="24"/>
        </w:rPr>
        <w:t>).</w:t>
      </w:r>
    </w:p>
    <w:p w14:paraId="279AD032" w14:textId="77777777" w:rsidR="00CD149B" w:rsidRPr="00B924B5" w:rsidRDefault="00CD149B" w:rsidP="00553A28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9AD035" w14:textId="77777777" w:rsidR="00CD149B" w:rsidRPr="00B924B5" w:rsidRDefault="001A5224" w:rsidP="00553A28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b/>
          <w:noProof/>
          <w:lang w:eastAsia="ru-RU"/>
        </w:rPr>
        <w:object w:dxaOrig="1440" w:dyaOrig="1440" w14:anchorId="279AD1B4">
          <v:shape id="_x0000_s1028" type="#_x0000_t75" style="position:absolute;left:0;text-align:left;margin-left:0;margin-top:0;width:462.15pt;height:326.85pt;z-index:251663360;mso-position-horizontal-relative:text;mso-position-vertical-relative:text">
            <v:imagedata r:id="rId29" o:title=""/>
            <w10:wrap type="topAndBottom"/>
          </v:shape>
          <o:OLEObject Type="Embed" ProgID="Origin50.Graph" ShapeID="_x0000_s1028" DrawAspect="Content" ObjectID="_1747570595" r:id="rId30"/>
        </w:object>
      </w:r>
      <w:r w:rsidR="00CD149B" w:rsidRPr="00B924B5">
        <w:rPr>
          <w:rFonts w:ascii="Times New Roman" w:hAnsi="Times New Roman" w:cs="Times New Roman"/>
          <w:b/>
          <w:sz w:val="24"/>
          <w:szCs w:val="24"/>
        </w:rPr>
        <w:t>Рисунок 17.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Зависимость активности фермента (при рН 7.4), в эритроцитах-биореакторах, содержащих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="00CD149B" w:rsidRPr="00B924B5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CD149B" w:rsidRPr="00B924B5">
        <w:rPr>
          <w:rFonts w:ascii="Times New Roman" w:hAnsi="Times New Roman" w:cs="Times New Roman"/>
          <w:sz w:val="24"/>
          <w:szCs w:val="24"/>
          <w:vertAlign w:val="subscript"/>
        </w:rPr>
        <w:t>ЭБР</w:t>
      </w:r>
      <w:r w:rsidR="00CD149B" w:rsidRPr="00B924B5">
        <w:rPr>
          <w:rFonts w:ascii="Times New Roman" w:hAnsi="Times New Roman" w:cs="Times New Roman"/>
          <w:sz w:val="24"/>
          <w:szCs w:val="24"/>
        </w:rPr>
        <w:t>) (</w:t>
      </w:r>
      <w:r w:rsidR="00CD149B" w:rsidRPr="00B924B5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CD149B" w:rsidRPr="00B924B5">
        <w:rPr>
          <w:rFonts w:ascii="Times New Roman" w:hAnsi="Times New Roman" w:cs="Times New Roman"/>
          <w:sz w:val="24"/>
          <w:szCs w:val="24"/>
        </w:rPr>
        <w:t>), и процента инкапсуляции фермента (</w:t>
      </w:r>
      <w:r w:rsidR="00CD149B" w:rsidRPr="00B924B5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) от концентрации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в исходной суспензии при включении в эритроциты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из печени быка (</w:t>
      </w:r>
      <w:r w:rsidR="00CD149B"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= 16) или из </w:t>
      </w:r>
      <w:proofErr w:type="spellStart"/>
      <w:r w:rsidR="00CD149B" w:rsidRPr="00B924B5">
        <w:rPr>
          <w:rFonts w:ascii="Times New Roman" w:hAnsi="Times New Roman" w:cs="Times New Roman"/>
          <w:i/>
          <w:iCs/>
          <w:sz w:val="24"/>
          <w:szCs w:val="24"/>
        </w:rPr>
        <w:t>Proteus</w:t>
      </w:r>
      <w:proofErr w:type="spellEnd"/>
      <w:r w:rsidR="00CD149B"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>. (</w:t>
      </w:r>
      <w:r w:rsidR="00CD149B" w:rsidRPr="00B924B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= 12). Ферменты были включены методом проточного диализа при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осмоляльности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>/кг.</w:t>
      </w:r>
    </w:p>
    <w:p w14:paraId="279AD036" w14:textId="77777777" w:rsidR="00CD149B" w:rsidRPr="00B924B5" w:rsidRDefault="00CD149B" w:rsidP="00553A28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9AD037" w14:textId="77777777" w:rsidR="00CD149B" w:rsidRPr="00584DEA" w:rsidRDefault="00CD149B" w:rsidP="007335FD">
      <w:pPr>
        <w:pStyle w:val="3"/>
        <w:rPr>
          <w:rStyle w:val="30"/>
        </w:rPr>
      </w:pPr>
      <w:bookmarkStart w:id="29" w:name="_Toc94790902"/>
      <w:r w:rsidRPr="00B924B5">
        <w:t>5.2</w:t>
      </w:r>
      <w:r w:rsidRPr="00B924B5">
        <w:tab/>
      </w:r>
      <w:r w:rsidRPr="007335FD">
        <w:rPr>
          <w:rStyle w:val="30"/>
          <w:b/>
        </w:rPr>
        <w:t>Сравнение эффективности включения АЛТ и различных типов GDH в эритроциты разными методами</w:t>
      </w:r>
      <w:bookmarkEnd w:id="29"/>
    </w:p>
    <w:p w14:paraId="2EE77E88" w14:textId="77777777" w:rsidR="007335FD" w:rsidRPr="00584DEA" w:rsidRDefault="007335FD" w:rsidP="007335FD"/>
    <w:p w14:paraId="279AD038" w14:textId="77777777" w:rsidR="00CD149B" w:rsidRPr="00B924B5" w:rsidRDefault="00CD149B" w:rsidP="00553A2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Эффективность включения ферментов была определена как процент фермента, который оказывался включенным в эритроциты в результате процедуры. Для включения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печени быка в эритроциты человека методом гипоосмотического диализа в мешках эта эффективность составляет примерно 2.2% (Таблица 1). Если для того же фермента использовать метод проточного гипоосмотического диализа, эффективность </w:t>
      </w:r>
      <w:r w:rsidRPr="00B924B5">
        <w:rPr>
          <w:rFonts w:ascii="Times New Roman" w:hAnsi="Times New Roman" w:cs="Times New Roman"/>
          <w:sz w:val="24"/>
          <w:szCs w:val="24"/>
        </w:rPr>
        <w:lastRenderedPageBreak/>
        <w:t xml:space="preserve">включения повышается до 4.7%, т.е. примерно в 2 раза. А эффективность включения в эритроциты человека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. методом проточного гипоосмотического диализа составила 12.2%, т.е. примерно в 5.5 раз выше, чем в предыдущих работах. Было показано, что присутствие второго фермента (А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24B5">
        <w:rPr>
          <w:rFonts w:ascii="Times New Roman" w:hAnsi="Times New Roman" w:cs="Times New Roman"/>
          <w:sz w:val="24"/>
          <w:szCs w:val="24"/>
        </w:rPr>
        <w:t xml:space="preserve">Т) не снижает эффективность включения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эритроциты методом проточного диализа (Таблица 1). </w:t>
      </w:r>
    </w:p>
    <w:p w14:paraId="279AD039" w14:textId="77777777" w:rsidR="00CD149B" w:rsidRDefault="00CD149B" w:rsidP="008A0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b/>
          <w:sz w:val="24"/>
          <w:szCs w:val="24"/>
        </w:rPr>
        <w:t xml:space="preserve">Таблица 1 </w:t>
      </w:r>
      <w:r w:rsidR="008A03A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924B5">
        <w:rPr>
          <w:rFonts w:ascii="Times New Roman" w:hAnsi="Times New Roman" w:cs="Times New Roman"/>
          <w:sz w:val="24"/>
          <w:szCs w:val="24"/>
        </w:rPr>
        <w:t>Эффективность включения АЛТ и различных типов ГДГ в эритроциты человека, а также выход клеток при различных методах загрузки ферментов в эритроциты*</w:t>
      </w:r>
      <w:r w:rsidRPr="00B924B5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r w:rsidRPr="00B924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9AD03A" w14:textId="77777777" w:rsidR="008A03A5" w:rsidRPr="00B924B5" w:rsidRDefault="008A03A5" w:rsidP="008A0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11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1"/>
        <w:gridCol w:w="1346"/>
        <w:gridCol w:w="1347"/>
        <w:gridCol w:w="1134"/>
        <w:gridCol w:w="1559"/>
        <w:gridCol w:w="1347"/>
        <w:gridCol w:w="1347"/>
      </w:tblGrid>
      <w:tr w:rsidR="00CD149B" w:rsidRPr="00B924B5" w14:paraId="279AD03F" w14:textId="77777777" w:rsidTr="00CD149B">
        <w:trPr>
          <w:trHeight w:val="435"/>
        </w:trPr>
        <w:tc>
          <w:tcPr>
            <w:tcW w:w="1431" w:type="dxa"/>
          </w:tcPr>
          <w:p w14:paraId="279AD03B" w14:textId="77777777" w:rsidR="00CD149B" w:rsidRPr="00B924B5" w:rsidRDefault="00CD149B" w:rsidP="001A067F">
            <w:pPr>
              <w:spacing w:after="0" w:line="240" w:lineRule="auto"/>
              <w:ind w:left="-95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Включенный фермент</w:t>
            </w:r>
          </w:p>
        </w:tc>
        <w:tc>
          <w:tcPr>
            <w:tcW w:w="2693" w:type="dxa"/>
            <w:gridSpan w:val="2"/>
          </w:tcPr>
          <w:p w14:paraId="279AD03C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ГДГ из печени быка</w:t>
            </w:r>
          </w:p>
        </w:tc>
        <w:tc>
          <w:tcPr>
            <w:tcW w:w="2693" w:type="dxa"/>
            <w:gridSpan w:val="2"/>
          </w:tcPr>
          <w:p w14:paraId="279AD03D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ГДГ из</w:t>
            </w:r>
            <w:r w:rsidRPr="00B92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24B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Proteus sp.</w:t>
            </w:r>
          </w:p>
        </w:tc>
        <w:tc>
          <w:tcPr>
            <w:tcW w:w="2694" w:type="dxa"/>
            <w:gridSpan w:val="2"/>
          </w:tcPr>
          <w:p w14:paraId="279AD03E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АЛТ из сердца свиньи</w:t>
            </w:r>
          </w:p>
        </w:tc>
      </w:tr>
      <w:tr w:rsidR="00CD149B" w:rsidRPr="00B924B5" w14:paraId="279AD047" w14:textId="77777777" w:rsidTr="00CD149B">
        <w:trPr>
          <w:trHeight w:val="460"/>
        </w:trPr>
        <w:tc>
          <w:tcPr>
            <w:tcW w:w="1431" w:type="dxa"/>
          </w:tcPr>
          <w:p w14:paraId="279AD040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Метод включения</w:t>
            </w:r>
          </w:p>
        </w:tc>
        <w:tc>
          <w:tcPr>
            <w:tcW w:w="1346" w:type="dxa"/>
          </w:tcPr>
          <w:p w14:paraId="279AD041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Диализ в мешке</w:t>
            </w:r>
          </w:p>
        </w:tc>
        <w:tc>
          <w:tcPr>
            <w:tcW w:w="1347" w:type="dxa"/>
          </w:tcPr>
          <w:p w14:paraId="279AD042" w14:textId="77777777" w:rsidR="00CD149B" w:rsidRPr="00B924B5" w:rsidRDefault="00CD149B" w:rsidP="001A067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Проточный диализ</w:t>
            </w:r>
          </w:p>
        </w:tc>
        <w:tc>
          <w:tcPr>
            <w:tcW w:w="1134" w:type="dxa"/>
          </w:tcPr>
          <w:p w14:paraId="279AD043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Диализ в мешке</w:t>
            </w:r>
          </w:p>
        </w:tc>
        <w:tc>
          <w:tcPr>
            <w:tcW w:w="1559" w:type="dxa"/>
          </w:tcPr>
          <w:p w14:paraId="279AD044" w14:textId="77777777" w:rsidR="00CD149B" w:rsidRPr="00B924B5" w:rsidRDefault="00CD149B" w:rsidP="001A067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Проточный диализ</w:t>
            </w:r>
          </w:p>
        </w:tc>
        <w:tc>
          <w:tcPr>
            <w:tcW w:w="1347" w:type="dxa"/>
          </w:tcPr>
          <w:p w14:paraId="279AD045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Диализ в мешке</w:t>
            </w:r>
          </w:p>
        </w:tc>
        <w:tc>
          <w:tcPr>
            <w:tcW w:w="1347" w:type="dxa"/>
          </w:tcPr>
          <w:p w14:paraId="279AD046" w14:textId="77777777" w:rsidR="00CD149B" w:rsidRPr="00B924B5" w:rsidRDefault="00CD149B" w:rsidP="001A067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Проточный диализ</w:t>
            </w:r>
          </w:p>
        </w:tc>
      </w:tr>
      <w:tr w:rsidR="00CD149B" w:rsidRPr="00B924B5" w14:paraId="279AD080" w14:textId="77777777" w:rsidTr="00CD149B">
        <w:trPr>
          <w:trHeight w:val="460"/>
        </w:trPr>
        <w:tc>
          <w:tcPr>
            <w:tcW w:w="1431" w:type="dxa"/>
          </w:tcPr>
          <w:p w14:paraId="279AD048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Эффектив-ность</w:t>
            </w:r>
            <w:proofErr w:type="spellEnd"/>
            <w:r w:rsidRPr="00B924B5">
              <w:rPr>
                <w:rFonts w:ascii="Times New Roman" w:hAnsi="Times New Roman" w:cs="Times New Roman"/>
                <w:sz w:val="24"/>
                <w:szCs w:val="24"/>
              </w:rPr>
              <w:t xml:space="preserve"> включения (Е, %)</w:t>
            </w:r>
          </w:p>
        </w:tc>
        <w:tc>
          <w:tcPr>
            <w:tcW w:w="1346" w:type="dxa"/>
          </w:tcPr>
          <w:p w14:paraId="279AD049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1.80 ± 0.</w:t>
            </w:r>
            <w:r w:rsidRPr="00B924B5">
              <w:rPr>
                <w:rFonts w:ascii="Times New Roman" w:hAnsi="Times New Roman" w:cs="Times New Roman"/>
                <w:lang w:val="en-US"/>
              </w:rPr>
              <w:t>8</w:t>
            </w:r>
            <w:r w:rsidRPr="00B924B5">
              <w:rPr>
                <w:rFonts w:ascii="Times New Roman" w:hAnsi="Times New Roman" w:cs="Times New Roman"/>
              </w:rPr>
              <w:t>0</w:t>
            </w:r>
          </w:p>
          <w:p w14:paraId="279AD04A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</w:rPr>
              <w:t>(</w:t>
            </w:r>
            <w:r w:rsidRPr="00B924B5">
              <w:rPr>
                <w:rFonts w:ascii="Times New Roman" w:hAnsi="Times New Roman" w:cs="Times New Roman"/>
                <w:lang w:val="en-US"/>
              </w:rPr>
              <w:t>n=8) [</w:t>
            </w:r>
            <w:r w:rsidRPr="00B924B5">
              <w:rPr>
                <w:rFonts w:ascii="Times New Roman" w:hAnsi="Times New Roman" w:cs="Times New Roman"/>
              </w:rPr>
              <w:t>10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</w:p>
          <w:p w14:paraId="279AD04B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4C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2.28+0.93 (n=7) [</w:t>
            </w:r>
            <w:r w:rsidRPr="00B924B5">
              <w:rPr>
                <w:rFonts w:ascii="Times New Roman" w:hAnsi="Times New Roman" w:cs="Times New Roman"/>
              </w:rPr>
              <w:t>25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  <w:r w:rsidRPr="00B924B5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</w:p>
          <w:p w14:paraId="279AD04D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4E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2.20 ± 0.82</w:t>
            </w:r>
          </w:p>
          <w:p w14:paraId="279AD04F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(n=10) [</w:t>
            </w:r>
            <w:r w:rsidRPr="00B924B5">
              <w:rPr>
                <w:rFonts w:ascii="Times New Roman" w:hAnsi="Times New Roman" w:cs="Times New Roman"/>
              </w:rPr>
              <w:t>8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  <w:r w:rsidRPr="00B924B5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</w:p>
          <w:p w14:paraId="279AD050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en-US"/>
              </w:rPr>
            </w:pPr>
          </w:p>
          <w:p w14:paraId="279AD051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en-US"/>
              </w:rPr>
            </w:pPr>
          </w:p>
        </w:tc>
        <w:tc>
          <w:tcPr>
            <w:tcW w:w="1347" w:type="dxa"/>
          </w:tcPr>
          <w:p w14:paraId="279AD052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53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54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55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4.70 ± 1.41 (n=9) [</w:t>
            </w:r>
            <w:r w:rsidRPr="00B924B5">
              <w:rPr>
                <w:rFonts w:ascii="Times New Roman" w:hAnsi="Times New Roman" w:cs="Times New Roman"/>
              </w:rPr>
              <w:t>25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  <w:r w:rsidRPr="00B924B5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</w:p>
          <w:p w14:paraId="279AD056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  <w:p w14:paraId="279AD057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B924B5">
              <w:rPr>
                <w:rFonts w:ascii="Times New Roman" w:hAnsi="Times New Roman" w:cs="Times New Roman"/>
                <w:vertAlign w:val="superscript"/>
              </w:rPr>
              <w:t>-</w:t>
            </w:r>
          </w:p>
          <w:p w14:paraId="279AD058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en-US"/>
              </w:rPr>
            </w:pPr>
          </w:p>
        </w:tc>
        <w:tc>
          <w:tcPr>
            <w:tcW w:w="1134" w:type="dxa"/>
          </w:tcPr>
          <w:p w14:paraId="279AD059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-</w:t>
            </w:r>
          </w:p>
          <w:p w14:paraId="279AD05A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5B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5C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5D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5E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5F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14:paraId="279AD060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61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62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63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12.20 ± 4.25</w:t>
            </w:r>
          </w:p>
          <w:p w14:paraId="279AD064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(</w:t>
            </w:r>
            <w:r w:rsidRPr="00B924B5">
              <w:rPr>
                <w:rFonts w:ascii="Times New Roman" w:hAnsi="Times New Roman" w:cs="Times New Roman"/>
                <w:lang w:val="en-US"/>
              </w:rPr>
              <w:t>n</w:t>
            </w:r>
            <w:r w:rsidRPr="00B924B5">
              <w:rPr>
                <w:rFonts w:ascii="Times New Roman" w:hAnsi="Times New Roman" w:cs="Times New Roman"/>
              </w:rPr>
              <w:t xml:space="preserve">=5) </w:t>
            </w:r>
            <w:r w:rsidRPr="00B924B5">
              <w:rPr>
                <w:rFonts w:ascii="Times New Roman" w:hAnsi="Times New Roman" w:cs="Times New Roman"/>
                <w:lang w:val="en-US"/>
              </w:rPr>
              <w:t>[</w:t>
            </w:r>
            <w:r w:rsidRPr="00B924B5">
              <w:rPr>
                <w:rFonts w:ascii="Times New Roman" w:hAnsi="Times New Roman" w:cs="Times New Roman"/>
              </w:rPr>
              <w:t>25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</w:p>
          <w:p w14:paraId="279AD065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66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67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68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69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13.5 ± 3.6</w:t>
            </w:r>
          </w:p>
          <w:p w14:paraId="279AD06A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(</w:t>
            </w:r>
            <w:r w:rsidRPr="00B924B5">
              <w:rPr>
                <w:rFonts w:ascii="Times New Roman" w:hAnsi="Times New Roman" w:cs="Times New Roman"/>
                <w:lang w:val="en-US"/>
              </w:rPr>
              <w:t>n</w:t>
            </w:r>
            <w:r w:rsidRPr="00B924B5">
              <w:rPr>
                <w:rFonts w:ascii="Times New Roman" w:hAnsi="Times New Roman" w:cs="Times New Roman"/>
              </w:rPr>
              <w:t>=17)</w:t>
            </w:r>
          </w:p>
          <w:p w14:paraId="279AD06B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924B5">
              <w:rPr>
                <w:rFonts w:ascii="Times New Roman" w:hAnsi="Times New Roman" w:cs="Times New Roman"/>
              </w:rPr>
              <w:t>(эта работа)</w:t>
            </w:r>
          </w:p>
        </w:tc>
        <w:tc>
          <w:tcPr>
            <w:tcW w:w="1347" w:type="dxa"/>
          </w:tcPr>
          <w:p w14:paraId="279AD06C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6D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6E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6F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70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71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72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11.69 ± 6.39</w:t>
            </w:r>
          </w:p>
          <w:p w14:paraId="279AD073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(n=10) [</w:t>
            </w:r>
            <w:r w:rsidRPr="00B924B5">
              <w:rPr>
                <w:rFonts w:ascii="Times New Roman" w:hAnsi="Times New Roman" w:cs="Times New Roman"/>
              </w:rPr>
              <w:t>8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347" w:type="dxa"/>
          </w:tcPr>
          <w:p w14:paraId="279AD074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75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76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77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78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79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7A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7B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7C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7D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28.40</w:t>
            </w:r>
            <w:r w:rsidRPr="00B924B5">
              <w:rPr>
                <w:rFonts w:ascii="Times New Roman" w:hAnsi="Times New Roman" w:cs="Times New Roman"/>
                <w:lang w:val="en-US"/>
              </w:rPr>
              <w:t xml:space="preserve"> ± </w:t>
            </w:r>
            <w:r w:rsidRPr="00B924B5">
              <w:rPr>
                <w:rFonts w:ascii="Times New Roman" w:hAnsi="Times New Roman" w:cs="Times New Roman"/>
              </w:rPr>
              <w:t>5</w:t>
            </w:r>
            <w:r w:rsidRPr="00B924B5">
              <w:rPr>
                <w:rFonts w:ascii="Times New Roman" w:hAnsi="Times New Roman" w:cs="Times New Roman"/>
                <w:lang w:val="en-US"/>
              </w:rPr>
              <w:t>.</w:t>
            </w:r>
            <w:r w:rsidRPr="00B924B5">
              <w:rPr>
                <w:rFonts w:ascii="Times New Roman" w:hAnsi="Times New Roman" w:cs="Times New Roman"/>
              </w:rPr>
              <w:t>40</w:t>
            </w:r>
          </w:p>
          <w:p w14:paraId="279AD07E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(n=17)</w:t>
            </w:r>
          </w:p>
          <w:p w14:paraId="279AD07F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924B5">
              <w:rPr>
                <w:rFonts w:ascii="Times New Roman" w:hAnsi="Times New Roman" w:cs="Times New Roman"/>
              </w:rPr>
              <w:t>(эта работа)</w:t>
            </w:r>
          </w:p>
        </w:tc>
      </w:tr>
      <w:tr w:rsidR="00CD149B" w:rsidRPr="00B924B5" w14:paraId="279AD0BB" w14:textId="77777777" w:rsidTr="00CD149B">
        <w:trPr>
          <w:trHeight w:val="460"/>
        </w:trPr>
        <w:tc>
          <w:tcPr>
            <w:tcW w:w="1431" w:type="dxa"/>
          </w:tcPr>
          <w:p w14:paraId="279AD081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>Выход клеток</w:t>
            </w:r>
            <w:r w:rsidRPr="00B92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9AD082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2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924B5">
              <w:rPr>
                <w:rFonts w:ascii="Times New Roman" w:hAnsi="Times New Roman" w:cs="Times New Roman"/>
                <w:sz w:val="24"/>
                <w:szCs w:val="24"/>
              </w:rPr>
              <w:t xml:space="preserve">С, </w:t>
            </w:r>
            <w:r w:rsidRPr="00B92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1346" w:type="dxa"/>
          </w:tcPr>
          <w:p w14:paraId="279AD083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65.1 ± 4.5</w:t>
            </w:r>
          </w:p>
          <w:p w14:paraId="279AD084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(n=8) [</w:t>
            </w:r>
            <w:r w:rsidRPr="00B924B5">
              <w:rPr>
                <w:rFonts w:ascii="Times New Roman" w:hAnsi="Times New Roman" w:cs="Times New Roman"/>
              </w:rPr>
              <w:t>10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</w:p>
          <w:p w14:paraId="279AD085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86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 xml:space="preserve">44.0+4.8 </w:t>
            </w:r>
          </w:p>
          <w:p w14:paraId="279AD087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(n=7) [</w:t>
            </w:r>
            <w:r w:rsidRPr="00B924B5">
              <w:rPr>
                <w:rFonts w:ascii="Times New Roman" w:hAnsi="Times New Roman" w:cs="Times New Roman"/>
              </w:rPr>
              <w:t>25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  <w:r w:rsidRPr="00B924B5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</w:p>
          <w:p w14:paraId="279AD088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89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 xml:space="preserve">43.3 ± 12.0 </w:t>
            </w:r>
          </w:p>
          <w:p w14:paraId="279AD08A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(n=10) [</w:t>
            </w:r>
            <w:r w:rsidRPr="00B924B5">
              <w:rPr>
                <w:rFonts w:ascii="Times New Roman" w:hAnsi="Times New Roman" w:cs="Times New Roman"/>
              </w:rPr>
              <w:t>8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  <w:r w:rsidRPr="00B924B5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</w:p>
          <w:p w14:paraId="279AD08B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8C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8D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47" w:type="dxa"/>
          </w:tcPr>
          <w:p w14:paraId="279AD08E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8F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90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91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66.1 ± 12.0 (n=9) [</w:t>
            </w:r>
            <w:r w:rsidRPr="00B924B5">
              <w:rPr>
                <w:rFonts w:ascii="Times New Roman" w:hAnsi="Times New Roman" w:cs="Times New Roman"/>
              </w:rPr>
              <w:t>25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  <w:r w:rsidRPr="00B924B5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</w:p>
          <w:p w14:paraId="279AD092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  <w:p w14:paraId="279AD093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924B5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  <w:tc>
          <w:tcPr>
            <w:tcW w:w="1134" w:type="dxa"/>
          </w:tcPr>
          <w:p w14:paraId="279AD094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-</w:t>
            </w:r>
          </w:p>
          <w:p w14:paraId="279AD095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96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97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98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99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9A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14:paraId="279AD09B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9C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9D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9E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63.7+2.2</w:t>
            </w:r>
          </w:p>
          <w:p w14:paraId="279AD09F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(n=5) [</w:t>
            </w:r>
            <w:r w:rsidRPr="00B924B5">
              <w:rPr>
                <w:rFonts w:ascii="Times New Roman" w:hAnsi="Times New Roman" w:cs="Times New Roman"/>
              </w:rPr>
              <w:t>25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</w:p>
          <w:p w14:paraId="279AD0A0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A1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A2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A3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A4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69.0 ± 8.6 (n=19)</w:t>
            </w:r>
          </w:p>
          <w:p w14:paraId="279AD0A5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924B5">
              <w:rPr>
                <w:rFonts w:ascii="Times New Roman" w:hAnsi="Times New Roman" w:cs="Times New Roman"/>
              </w:rPr>
              <w:t>(эта работа)</w:t>
            </w:r>
          </w:p>
        </w:tc>
        <w:tc>
          <w:tcPr>
            <w:tcW w:w="1347" w:type="dxa"/>
          </w:tcPr>
          <w:p w14:paraId="279AD0A6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A7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A8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A9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AA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AB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AC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43.3 ± 12.0</w:t>
            </w:r>
          </w:p>
          <w:p w14:paraId="279AD0AD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  <w:lang w:val="en-US"/>
              </w:rPr>
              <w:t>(n=10) [</w:t>
            </w:r>
            <w:r w:rsidRPr="00B924B5">
              <w:rPr>
                <w:rFonts w:ascii="Times New Roman" w:hAnsi="Times New Roman" w:cs="Times New Roman"/>
              </w:rPr>
              <w:t>8</w:t>
            </w:r>
            <w:r w:rsidRPr="00B924B5">
              <w:rPr>
                <w:rFonts w:ascii="Times New Roman" w:hAnsi="Times New Roman" w:cs="Times New Roman"/>
                <w:lang w:val="en-US"/>
              </w:rPr>
              <w:t>]</w:t>
            </w:r>
          </w:p>
          <w:p w14:paraId="279AD0AE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9AD0AF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</w:tcPr>
          <w:p w14:paraId="279AD0B0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B1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B2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B3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B4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B5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B6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4B5">
              <w:rPr>
                <w:rFonts w:ascii="Times New Roman" w:hAnsi="Times New Roman" w:cs="Times New Roman"/>
              </w:rPr>
              <w:t>-</w:t>
            </w:r>
          </w:p>
          <w:p w14:paraId="279AD0B7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B8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9AD0B9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924B5">
              <w:rPr>
                <w:rFonts w:ascii="Times New Roman" w:hAnsi="Times New Roman" w:cs="Times New Roman"/>
              </w:rPr>
              <w:t xml:space="preserve">69.0 </w:t>
            </w:r>
            <w:r w:rsidRPr="00B924B5">
              <w:rPr>
                <w:rFonts w:ascii="Times New Roman" w:hAnsi="Times New Roman" w:cs="Times New Roman"/>
                <w:lang w:val="en-US"/>
              </w:rPr>
              <w:t>±</w:t>
            </w:r>
            <w:r w:rsidRPr="00B924B5">
              <w:rPr>
                <w:rFonts w:ascii="Times New Roman" w:hAnsi="Times New Roman" w:cs="Times New Roman"/>
              </w:rPr>
              <w:t xml:space="preserve"> 8.6 (</w:t>
            </w:r>
            <w:r w:rsidRPr="00B924B5">
              <w:rPr>
                <w:rFonts w:ascii="Times New Roman" w:hAnsi="Times New Roman" w:cs="Times New Roman"/>
                <w:lang w:val="en-US"/>
              </w:rPr>
              <w:t>n=19)</w:t>
            </w:r>
          </w:p>
          <w:p w14:paraId="279AD0BA" w14:textId="77777777" w:rsidR="00CD149B" w:rsidRPr="00B924B5" w:rsidRDefault="00CD149B" w:rsidP="001A067F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924B5">
              <w:rPr>
                <w:rFonts w:ascii="Times New Roman" w:hAnsi="Times New Roman" w:cs="Times New Roman"/>
              </w:rPr>
              <w:t>(эта работа)</w:t>
            </w:r>
          </w:p>
        </w:tc>
      </w:tr>
    </w:tbl>
    <w:p w14:paraId="279AD0BC" w14:textId="77777777" w:rsidR="00CD149B" w:rsidRPr="00B924B5" w:rsidRDefault="00CD149B" w:rsidP="00553A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>*</w:t>
      </w:r>
      <w:r w:rsidRPr="00B924B5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r w:rsidRPr="00B924B5">
        <w:rPr>
          <w:rFonts w:ascii="Times New Roman" w:hAnsi="Times New Roman" w:cs="Times New Roman"/>
          <w:sz w:val="24"/>
          <w:szCs w:val="24"/>
        </w:rPr>
        <w:tab/>
        <w:t>Представлены средние величины и стандартные отклонения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mean</w:t>
      </w:r>
      <w:r w:rsidRPr="00B924B5">
        <w:rPr>
          <w:rFonts w:ascii="Times New Roman" w:hAnsi="Times New Roman" w:cs="Times New Roman"/>
          <w:sz w:val="24"/>
          <w:szCs w:val="24"/>
        </w:rPr>
        <w:t>±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B924B5">
        <w:rPr>
          <w:rFonts w:ascii="Times New Roman" w:hAnsi="Times New Roman" w:cs="Times New Roman"/>
          <w:sz w:val="24"/>
          <w:szCs w:val="24"/>
        </w:rPr>
        <w:t xml:space="preserve">) только для эритроцитов человека. В работах [10,25]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различных источников была включена в эритроциты без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 xml:space="preserve">. В данной работе и работе [8] различные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были включены в эритроциты совместно с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>.</w:t>
      </w:r>
      <w:r w:rsidR="00B924B5" w:rsidRPr="00B924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9AD0BD" w14:textId="77777777" w:rsidR="00CD149B" w:rsidRPr="00B924B5" w:rsidRDefault="00CD149B" w:rsidP="00553A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9AD0BE" w14:textId="77777777" w:rsidR="00CD149B" w:rsidRPr="00B924B5" w:rsidRDefault="00CD149B" w:rsidP="007335FD">
      <w:pPr>
        <w:pStyle w:val="3"/>
      </w:pPr>
      <w:bookmarkStart w:id="30" w:name="_Toc94790903"/>
      <w:r w:rsidRPr="00B924B5">
        <w:t>5.3</w:t>
      </w:r>
      <w:r w:rsidRPr="00B924B5">
        <w:tab/>
      </w:r>
      <w:bookmarkStart w:id="31" w:name="_Toc62906098"/>
      <w:r w:rsidRPr="007335FD">
        <w:rPr>
          <w:rStyle w:val="30"/>
          <w:b/>
        </w:rPr>
        <w:t>Оценка качества эритроцитов-биореакторов, полученных с помощью метода проточного гипоосмотического диализа</w:t>
      </w:r>
      <w:bookmarkEnd w:id="30"/>
      <w:bookmarkEnd w:id="31"/>
    </w:p>
    <w:p w14:paraId="279AD0BF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79AD0C0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Свойства полученных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содержащих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из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Proteus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.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B924B5">
        <w:rPr>
          <w:rFonts w:ascii="Times New Roman" w:hAnsi="Times New Roman" w:cs="Times New Roman"/>
          <w:sz w:val="24"/>
          <w:szCs w:val="24"/>
        </w:rPr>
        <w:t>, были изучены в сравнении со свойствами исходных нативных эритроцитов как сразу после их приготовления, так и в процессе хранения 10% суспензий ЭБР и исходных эритроцитов при 4</w:t>
      </w:r>
      <w:r w:rsidRPr="00B924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 в буферной среде близкой по составу к плазме крови, содержащей аденин, глюкозу и бычий сывороточный альбумин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BSA</w:t>
      </w:r>
      <w:r w:rsidRPr="00B924B5">
        <w:rPr>
          <w:rFonts w:ascii="Times New Roman" w:hAnsi="Times New Roman" w:cs="Times New Roman"/>
          <w:sz w:val="24"/>
          <w:szCs w:val="24"/>
        </w:rPr>
        <w:t>) (137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NaCl</w:t>
      </w:r>
      <w:r w:rsidRPr="00B924B5">
        <w:rPr>
          <w:rFonts w:ascii="Times New Roman" w:hAnsi="Times New Roman" w:cs="Times New Roman"/>
          <w:sz w:val="24"/>
          <w:szCs w:val="24"/>
        </w:rPr>
        <w:t>, 2.7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sz w:val="24"/>
          <w:szCs w:val="24"/>
          <w:lang w:val="en-US"/>
        </w:rPr>
        <w:t>KCl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, 10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HPO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hAnsi="Times New Roman" w:cs="Times New Roman"/>
          <w:sz w:val="24"/>
          <w:szCs w:val="24"/>
        </w:rPr>
        <w:t>, 2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KH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hAnsi="Times New Roman" w:cs="Times New Roman"/>
          <w:sz w:val="24"/>
          <w:szCs w:val="24"/>
        </w:rPr>
        <w:t>, 1.3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sz w:val="24"/>
          <w:szCs w:val="24"/>
          <w:lang w:val="en-US"/>
        </w:rPr>
        <w:t>CaCl</w:t>
      </w:r>
      <w:proofErr w:type="spellEnd"/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24B5">
        <w:rPr>
          <w:rFonts w:ascii="Times New Roman" w:hAnsi="Times New Roman" w:cs="Times New Roman"/>
          <w:sz w:val="24"/>
          <w:szCs w:val="24"/>
        </w:rPr>
        <w:t>, 5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4B5">
        <w:rPr>
          <w:rFonts w:ascii="Times New Roman" w:hAnsi="Times New Roman" w:cs="Times New Roman"/>
          <w:sz w:val="24"/>
          <w:szCs w:val="24"/>
          <w:lang w:val="en-US"/>
        </w:rPr>
        <w:t>MgCl</w:t>
      </w:r>
      <w:proofErr w:type="spellEnd"/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24B5">
        <w:rPr>
          <w:rFonts w:ascii="Times New Roman" w:hAnsi="Times New Roman" w:cs="Times New Roman"/>
          <w:sz w:val="24"/>
          <w:szCs w:val="24"/>
        </w:rPr>
        <w:t>, 10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глюкозы, 5% (весовых)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BSA</w:t>
      </w:r>
      <w:r w:rsidRPr="00B924B5">
        <w:rPr>
          <w:rFonts w:ascii="Times New Roman" w:hAnsi="Times New Roman" w:cs="Times New Roman"/>
          <w:sz w:val="24"/>
          <w:szCs w:val="24"/>
        </w:rPr>
        <w:t>, 30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HEPES</w:t>
      </w:r>
      <w:r w:rsidRPr="00B924B5">
        <w:rPr>
          <w:rFonts w:ascii="Times New Roman" w:hAnsi="Times New Roman" w:cs="Times New Roman"/>
          <w:sz w:val="24"/>
          <w:szCs w:val="24"/>
        </w:rPr>
        <w:t>, 0.28 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аденина, и 0.02 мг/мл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ампицилина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B924B5">
        <w:rPr>
          <w:rFonts w:ascii="Times New Roman" w:hAnsi="Times New Roman" w:cs="Times New Roman"/>
          <w:sz w:val="24"/>
          <w:szCs w:val="24"/>
        </w:rPr>
        <w:t xml:space="preserve"> 7.4)). Были изучены такие свойства клеток как стандартные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эритроцитарные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индексы (средний объем клетки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MCV</w:t>
      </w:r>
      <w:r w:rsidRPr="00B924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фл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); среднее содержание гемоглобина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B924B5">
        <w:rPr>
          <w:rFonts w:ascii="Times New Roman" w:hAnsi="Times New Roman" w:cs="Times New Roman"/>
          <w:sz w:val="24"/>
          <w:szCs w:val="24"/>
        </w:rPr>
        <w:t>) в эритроците (М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924B5">
        <w:rPr>
          <w:rFonts w:ascii="Times New Roman" w:hAnsi="Times New Roman" w:cs="Times New Roman"/>
          <w:sz w:val="24"/>
          <w:szCs w:val="24"/>
        </w:rPr>
        <w:t xml:space="preserve">Н,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пг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) и средняя концентрация Н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эритроците (МСНС, г/л)), гемолиз, осмотическая хрупкость, изменение внутриклеточной концентрации включенного фермента в процессе хранения. Кроме того, впервые была изучена способность полученных ЭБР деформироваться (по их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через поры искусственного фильтра).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Фильтруемость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была измерена в свежеприготовленных эритроцитах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аммоцитах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а также через 2 ч инкубации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в приведенном выше растворе при комнатной температуре. </w:t>
      </w:r>
    </w:p>
    <w:p w14:paraId="279AD0C1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C2" w14:textId="77777777" w:rsidR="00CD149B" w:rsidRPr="00B924B5" w:rsidRDefault="00CD149B" w:rsidP="007335FD">
      <w:pPr>
        <w:pStyle w:val="4"/>
      </w:pPr>
      <w:bookmarkStart w:id="32" w:name="_Toc94790904"/>
      <w:r w:rsidRPr="00B924B5">
        <w:t>5.3.1</w:t>
      </w:r>
      <w:r w:rsidRPr="00B924B5">
        <w:tab/>
      </w:r>
      <w:r w:rsidRPr="007335FD">
        <w:rPr>
          <w:rStyle w:val="40"/>
          <w:b/>
        </w:rPr>
        <w:t xml:space="preserve">Стандартные </w:t>
      </w:r>
      <w:proofErr w:type="spellStart"/>
      <w:r w:rsidRPr="007335FD">
        <w:rPr>
          <w:rStyle w:val="40"/>
          <w:b/>
        </w:rPr>
        <w:t>эритроцитарные</w:t>
      </w:r>
      <w:proofErr w:type="spellEnd"/>
      <w:r w:rsidRPr="007335FD">
        <w:rPr>
          <w:rStyle w:val="40"/>
          <w:b/>
        </w:rPr>
        <w:t xml:space="preserve"> индексы</w:t>
      </w:r>
      <w:bookmarkEnd w:id="32"/>
      <w:r w:rsidRPr="00B924B5">
        <w:t xml:space="preserve"> </w:t>
      </w:r>
    </w:p>
    <w:p w14:paraId="279AD0C3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Эритроцитарные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показатели (Рисунок 18 (</w:t>
      </w:r>
      <w:proofErr w:type="spellStart"/>
      <w:proofErr w:type="gramStart"/>
      <w:r w:rsidRPr="00B924B5">
        <w:rPr>
          <w:rFonts w:ascii="Times New Roman" w:hAnsi="Times New Roman" w:cs="Times New Roman"/>
          <w:sz w:val="24"/>
          <w:szCs w:val="24"/>
        </w:rPr>
        <w:t>а,б</w:t>
      </w:r>
      <w:proofErr w:type="spellEnd"/>
      <w:proofErr w:type="gramEnd"/>
      <w:r w:rsidRPr="00B924B5">
        <w:rPr>
          <w:rFonts w:ascii="Times New Roman" w:hAnsi="Times New Roman" w:cs="Times New Roman"/>
          <w:sz w:val="24"/>
          <w:szCs w:val="24"/>
        </w:rPr>
        <w:t xml:space="preserve">)) незначительно изменяются во время проточного диализа, но затем остаются постоянными во время хранения. Значения этих изменений соответствовали ранее полученным в других исследованиях [10,25]. </w:t>
      </w:r>
    </w:p>
    <w:p w14:paraId="279AD0C4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C5" w14:textId="77777777" w:rsidR="00CD149B" w:rsidRPr="00B924B5" w:rsidRDefault="00CD149B" w:rsidP="007335FD">
      <w:pPr>
        <w:pStyle w:val="4"/>
      </w:pPr>
      <w:bookmarkStart w:id="33" w:name="_Toc94790905"/>
      <w:r w:rsidRPr="00B924B5">
        <w:t>5.3.2</w:t>
      </w:r>
      <w:r w:rsidRPr="00B924B5">
        <w:tab/>
      </w:r>
      <w:r w:rsidRPr="007335FD">
        <w:rPr>
          <w:rStyle w:val="40"/>
          <w:b/>
        </w:rPr>
        <w:t xml:space="preserve">Гемолиз нативных эритроцитов и </w:t>
      </w:r>
      <w:proofErr w:type="spellStart"/>
      <w:r w:rsidRPr="007335FD">
        <w:rPr>
          <w:rStyle w:val="40"/>
          <w:b/>
        </w:rPr>
        <w:t>аммоцитов</w:t>
      </w:r>
      <w:bookmarkEnd w:id="33"/>
      <w:proofErr w:type="spellEnd"/>
    </w:p>
    <w:p w14:paraId="279AD0C6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Гемолиз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(Рисунок 18 (г)) увеличивался относительно быстро, поэтому срок их хранения ограничен 1-2 днями (в зависимости от дозы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которые необходимо перелить). При более длительном хранении допустима дополнительная отмывка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непосредственно перед переливанием. </w:t>
      </w:r>
    </w:p>
    <w:p w14:paraId="279AD0C7" w14:textId="77777777" w:rsidR="00CD149B" w:rsidRPr="00B924B5" w:rsidRDefault="00CD149B" w:rsidP="00553A2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C8" w14:textId="77777777" w:rsidR="00CD149B" w:rsidRPr="00B924B5" w:rsidRDefault="00CD149B" w:rsidP="007335FD">
      <w:pPr>
        <w:pStyle w:val="4"/>
      </w:pPr>
      <w:bookmarkStart w:id="34" w:name="_Toc94790906"/>
      <w:r w:rsidRPr="00B924B5">
        <w:t>5.3.3</w:t>
      </w:r>
      <w:r w:rsidRPr="00B924B5">
        <w:tab/>
      </w:r>
      <w:r w:rsidRPr="007335FD">
        <w:rPr>
          <w:rStyle w:val="40"/>
          <w:b/>
        </w:rPr>
        <w:t xml:space="preserve">Осмотическая хрупкость исходных эритроцитов и </w:t>
      </w:r>
      <w:proofErr w:type="spellStart"/>
      <w:r w:rsidRPr="007335FD">
        <w:rPr>
          <w:rStyle w:val="40"/>
          <w:b/>
        </w:rPr>
        <w:t>аммоцитов</w:t>
      </w:r>
      <w:bookmarkEnd w:id="34"/>
      <w:proofErr w:type="spellEnd"/>
    </w:p>
    <w:p w14:paraId="279AD0C9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Будут ли клетки (нативные эритроциты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лизировать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в кровотоке после переливания, можно косвенно определить по их осмотической хрупкости. Этот параметр был изменен в свежеприготовленных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аммоцитах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по сравнению с нативными эритроцитами (Рисунок 19 (а)), что согласуется с результатами, ранее полученными для эритроцитов-носителей в других исследованиях [10,25].</w:t>
      </w:r>
    </w:p>
    <w:p w14:paraId="279AD0CA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lastRenderedPageBreak/>
        <w:t>Из усредненных кривых осмотической хрупкости, представленных на Рисунке 19 (а), видно, что характеризующий осмотическую хрупкость параметр H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осмоляльность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среды, при которой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лизирует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50% клеток, пунктирная линия на Рисунке 19 (а)) в течение всего срока хранения превышала осмотическую хрупкость нативных эритроцитов на тех же сроках хранения. Разница между группами по этому параметру составляла 6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 в день 0, 54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 в день 1 и снова снизилась до 16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 на 6-ой день хранения. Ширина распределения эритроцитов по осмотической хрупкости (W, разница в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среды, в которой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лизирует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10 и 90% клеток, мелкие пунктирные линии на Рисунке 19 (а)) также была значительно выше в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аммоцитах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, чем в нативных эритроцитах в любой день хранения. Однако, в отличие от H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B924B5">
        <w:rPr>
          <w:rFonts w:ascii="Times New Roman" w:hAnsi="Times New Roman" w:cs="Times New Roman"/>
          <w:sz w:val="24"/>
          <w:szCs w:val="24"/>
        </w:rPr>
        <w:t xml:space="preserve">, эта разница постепенно уменьшалась с увеличением срока хранения, составляя 110, 106 и 93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мОсм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/кг для дней хранения 0, 1 и 6, соответственно. Подобные изменения этих показателей при хранении нативных эритроцитов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можно объяснить тем, что суспензия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содержит определенную долю “поврежденных” во время процедуры клеток, которые подвергаются более быстрому лизису с уменьшением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среды, чем нативные эритроциты. Однако при хранении эти клетки довольно быстро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лизируют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, а оставшиеся неповрежденные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приближаются по свойствам к исходным нативным эритроцитам. </w:t>
      </w:r>
    </w:p>
    <w:p w14:paraId="279AD0CB" w14:textId="77777777" w:rsidR="00CD149B" w:rsidRPr="00B924B5" w:rsidRDefault="001A5224" w:rsidP="00553A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279AD1B5">
          <v:shape id="_x0000_s1029" type="#_x0000_t75" style="position:absolute;left:0;text-align:left;margin-left:0;margin-top:21.8pt;width:465.3pt;height:325pt;z-index:251664384;mso-position-horizontal-relative:text;mso-position-vertical-relative:text">
            <v:imagedata r:id="rId31" o:title=""/>
            <w10:wrap type="topAndBottom"/>
          </v:shape>
          <o:OLEObject Type="Embed" ProgID="Origin50.Graph" ShapeID="_x0000_s1029" DrawAspect="Content" ObjectID="_1747570596" r:id="rId32"/>
        </w:object>
      </w:r>
    </w:p>
    <w:p w14:paraId="279AD0CC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b/>
          <w:sz w:val="24"/>
          <w:szCs w:val="24"/>
        </w:rPr>
        <w:lastRenderedPageBreak/>
        <w:t>Рисунок 18.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Стандартные показатели эритроцитов и гемолиз исходных эритроцитов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при хранении. Суспензии исходных эритроцитов (черные символы)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(красные символы) с гематокритом 10% хранили при 4</w:t>
      </w:r>
      <w:r w:rsidRPr="00B924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 в течение 6 дней. (а) – Средний объем эритроцитов (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фл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). (б) – Среднее содержание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эритроците (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пг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). (в) – Средняя концентрация Н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эритроците (г/л). (г) – Гемолиз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 нативных клеток во время хранения. Представлены средние величины ± стандартные отклонения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B924B5">
        <w:rPr>
          <w:rFonts w:ascii="Times New Roman" w:hAnsi="Times New Roman" w:cs="Times New Roman"/>
          <w:sz w:val="24"/>
          <w:szCs w:val="24"/>
        </w:rPr>
        <w:t xml:space="preserve">). Для всех показателей эритроцитов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=5 (кроме дня 0, где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=7). Для гемолиза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=4 (кроме дня 0, где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=5), для гемолиза исходных эритроцитов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>=12, кроме дня 0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>=7).</w:t>
      </w:r>
    </w:p>
    <w:p w14:paraId="279AD0CD" w14:textId="77777777" w:rsidR="00CD149B" w:rsidRPr="00B924B5" w:rsidRDefault="00CD149B" w:rsidP="00553A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9AD0CE" w14:textId="77777777" w:rsidR="00CD149B" w:rsidRPr="00B924B5" w:rsidRDefault="00CD149B" w:rsidP="007335FD">
      <w:pPr>
        <w:pStyle w:val="4"/>
      </w:pPr>
      <w:bookmarkStart w:id="35" w:name="_Toc94790907"/>
      <w:r w:rsidRPr="00B924B5">
        <w:t>5.3.4</w:t>
      </w:r>
      <w:r w:rsidRPr="00B924B5">
        <w:tab/>
      </w:r>
      <w:r w:rsidRPr="007335FD">
        <w:rPr>
          <w:rStyle w:val="40"/>
          <w:b/>
        </w:rPr>
        <w:t xml:space="preserve">Изменения концентрации ферментов внутри </w:t>
      </w:r>
      <w:proofErr w:type="spellStart"/>
      <w:r w:rsidRPr="007335FD">
        <w:rPr>
          <w:rStyle w:val="40"/>
          <w:b/>
        </w:rPr>
        <w:t>аммоцитов</w:t>
      </w:r>
      <w:proofErr w:type="spellEnd"/>
      <w:r w:rsidRPr="007335FD">
        <w:rPr>
          <w:rStyle w:val="40"/>
          <w:b/>
        </w:rPr>
        <w:t xml:space="preserve"> при хранении</w:t>
      </w:r>
      <w:bookmarkEnd w:id="35"/>
    </w:p>
    <w:p w14:paraId="279AD0CF" w14:textId="77777777" w:rsidR="00CD149B" w:rsidRPr="00B924B5" w:rsidRDefault="001A5224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noProof/>
          <w:lang w:eastAsia="ru-RU"/>
        </w:rPr>
        <w:object w:dxaOrig="1440" w:dyaOrig="1440" w14:anchorId="279AD1B6">
          <v:shape id="_x0000_s1036" type="#_x0000_t75" style="position:absolute;left:0;text-align:left;margin-left:-12pt;margin-top:57.15pt;width:467.55pt;height:326.75pt;z-index:251672576;mso-position-horizontal-relative:text;mso-position-vertical-relative:text">
            <v:imagedata r:id="rId33" o:title=""/>
            <w10:wrap type="topAndBottom"/>
          </v:shape>
          <o:OLEObject Type="Embed" ProgID="Origin50.Graph" ShapeID="_x0000_s1036" DrawAspect="Content" ObjectID="_1747570597" r:id="rId34"/>
        </w:object>
      </w:r>
      <w:r w:rsidR="00CD149B" w:rsidRPr="00B924B5">
        <w:rPr>
          <w:rFonts w:ascii="Times New Roman" w:hAnsi="Times New Roman" w:cs="Times New Roman"/>
          <w:sz w:val="24"/>
          <w:szCs w:val="24"/>
        </w:rPr>
        <w:t>Падение активности ферментов (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и А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Т) в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аммоцитах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за 6 суток хранения не превышало 10% (Рисунок 19 (</w:t>
      </w:r>
      <w:proofErr w:type="spellStart"/>
      <w:proofErr w:type="gramStart"/>
      <w:r w:rsidR="00CD149B" w:rsidRPr="00B924B5">
        <w:rPr>
          <w:rFonts w:ascii="Times New Roman" w:hAnsi="Times New Roman" w:cs="Times New Roman"/>
          <w:sz w:val="24"/>
          <w:szCs w:val="24"/>
        </w:rPr>
        <w:t>б,в</w:t>
      </w:r>
      <w:proofErr w:type="spellEnd"/>
      <w:proofErr w:type="gramEnd"/>
      <w:r w:rsidR="00CD149B" w:rsidRPr="00B924B5">
        <w:rPr>
          <w:rFonts w:ascii="Times New Roman" w:hAnsi="Times New Roman" w:cs="Times New Roman"/>
          <w:sz w:val="24"/>
          <w:szCs w:val="24"/>
        </w:rPr>
        <w:t>))).</w:t>
      </w:r>
    </w:p>
    <w:p w14:paraId="279AD0D0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D1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D2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b/>
          <w:sz w:val="24"/>
          <w:szCs w:val="24"/>
        </w:rPr>
        <w:t>Рисунок 19.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Свойства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 нативных эритроцитов. А – Кривые осмотической хрупкости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(красные линии) и нативных эритроцитов (черные линии) при хранении 10% суспензий при 4</w:t>
      </w:r>
      <w:r w:rsidRPr="00B924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924B5">
        <w:rPr>
          <w:rFonts w:ascii="Times New Roman" w:hAnsi="Times New Roman" w:cs="Times New Roman"/>
          <w:sz w:val="24"/>
          <w:szCs w:val="24"/>
        </w:rPr>
        <w:t xml:space="preserve"> С, выраженные как зависимость процента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lastRenderedPageBreak/>
        <w:t>нелизированных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клеток от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осмоляльности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среды. Измерения проводили в день 0 (сплошные линии), день 1 (пунктирные линии) и день 6 (пунктир с точками). Представлены средние величины±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>=4). Б и В – Активности ГДГ и АЛТ, соответственно, внутри клеток (1) и во внеклеточной среде (2), выраженные в % от активности каждого из ферментов в клетках в день 0. Представлены средние величины ±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SEM</w:t>
      </w:r>
      <w:r w:rsidRPr="00B924B5">
        <w:rPr>
          <w:rFonts w:ascii="Times New Roman" w:hAnsi="Times New Roman" w:cs="Times New Roman"/>
          <w:sz w:val="24"/>
          <w:szCs w:val="24"/>
        </w:rPr>
        <w:t xml:space="preserve">,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= 8. Г –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Фильтруемость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нативных эритроцитов (1), свежеприготовленных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(2) 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после 2 ч инкубации при комнатной температуре (3), выраженная как доля клеток, неспособных пройти через фильтр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924B5">
        <w:rPr>
          <w:rFonts w:ascii="Times New Roman" w:hAnsi="Times New Roman" w:cs="Times New Roman"/>
          <w:sz w:val="24"/>
          <w:szCs w:val="24"/>
        </w:rPr>
        <w:t xml:space="preserve"> (%) или как индекс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924B5">
        <w:rPr>
          <w:rFonts w:ascii="Times New Roman" w:hAnsi="Times New Roman" w:cs="Times New Roman"/>
          <w:sz w:val="24"/>
          <w:szCs w:val="24"/>
        </w:rPr>
        <w:t xml:space="preserve">. Представлены средние величины ±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B924B5">
        <w:rPr>
          <w:rFonts w:ascii="Times New Roman" w:hAnsi="Times New Roman" w:cs="Times New Roman"/>
          <w:sz w:val="24"/>
          <w:szCs w:val="24"/>
        </w:rPr>
        <w:t xml:space="preserve"> 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>=7).</w:t>
      </w:r>
    </w:p>
    <w:p w14:paraId="279AD0D3" w14:textId="77777777" w:rsidR="00CD149B" w:rsidRPr="00B924B5" w:rsidRDefault="00CD149B" w:rsidP="00553A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9AD0D4" w14:textId="77777777" w:rsidR="00CD149B" w:rsidRPr="00B924B5" w:rsidRDefault="00CD149B" w:rsidP="00553A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9AD0D5" w14:textId="77777777" w:rsidR="00CD149B" w:rsidRPr="00B924B5" w:rsidRDefault="00CD149B" w:rsidP="007335FD">
      <w:pPr>
        <w:pStyle w:val="4"/>
      </w:pPr>
      <w:bookmarkStart w:id="36" w:name="_Toc94790908"/>
      <w:r w:rsidRPr="00B924B5">
        <w:t>5.3.5</w:t>
      </w:r>
      <w:r w:rsidRPr="00B924B5">
        <w:tab/>
        <w:t xml:space="preserve"> </w:t>
      </w:r>
      <w:proofErr w:type="spellStart"/>
      <w:r w:rsidRPr="007335FD">
        <w:rPr>
          <w:rStyle w:val="40"/>
          <w:b/>
        </w:rPr>
        <w:t>Фильтруемость</w:t>
      </w:r>
      <w:bookmarkEnd w:id="36"/>
      <w:proofErr w:type="spellEnd"/>
    </w:p>
    <w:p w14:paraId="279AD0D6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Способность эритроцитов деформироваться для прохождения через мелкие капилляры в селезенке напрямую определяет время их циркуляции в кровотоке. Это свойство также определяет способность клеток проходить через мелкие поры искусственного фильтра. Деформационная способность клеток при испытании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характеризуется двумя параметрами: индексом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(F), определяемым по уравнению (27), и долей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нефильтрующихся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клеток в суспензии (Z), определяемой уравнениями (28) и (29). В то время как индекс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F свежих нативных клеток близок к 1 (что означает, что клетки проходят поры фильтра почти за то же время, что и буфер), свежеприготовленные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аммоциты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имеют вдвое меньший индекс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фильтруемости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F и вдвое большее значение Z по сравнению с нативными эритроцитами (Рисунок 19 (г)). Однако эти параметры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имеют тенденцию улучшаться после 2 ч инкубации при комнатной температуре в буферном растворе, близком по ионному составу к плазме крови, содержащем дополнительно глюкозу, аденин 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BSA</w:t>
      </w:r>
      <w:r w:rsidRPr="00B924B5">
        <w:rPr>
          <w:rFonts w:ascii="Times New Roman" w:hAnsi="Times New Roman" w:cs="Times New Roman"/>
          <w:sz w:val="24"/>
          <w:szCs w:val="24"/>
        </w:rPr>
        <w:t xml:space="preserve"> (Рисунок 19 (г)).</w:t>
      </w:r>
    </w:p>
    <w:p w14:paraId="279AD0D7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924B5">
        <w:rPr>
          <w:rFonts w:ascii="Times New Roman" w:hAnsi="Times New Roman" w:cs="Times New Roman"/>
          <w:sz w:val="24"/>
          <w:szCs w:val="24"/>
          <w:lang w:val="en-US"/>
        </w:rPr>
        <w:t>F=t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924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proofErr w:type="spellEnd"/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  <w:t>(27),</w:t>
      </w:r>
    </w:p>
    <w:p w14:paraId="279AD0D8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924B5">
        <w:rPr>
          <w:rFonts w:ascii="Times New Roman" w:hAnsi="Times New Roman" w:cs="Times New Roman"/>
          <w:sz w:val="24"/>
          <w:szCs w:val="24"/>
          <w:lang w:val="en-US"/>
        </w:rPr>
        <w:t>Z=N×100/m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ab/>
        <w:t>(28),</w:t>
      </w:r>
    </w:p>
    <w:p w14:paraId="279AD0D9" w14:textId="77777777" w:rsidR="00CD149B" w:rsidRPr="007A108A" w:rsidRDefault="00CD149B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A108A">
        <w:rPr>
          <w:rFonts w:ascii="Times New Roman" w:hAnsi="Times New Roman" w:cs="Times New Roman"/>
          <w:sz w:val="24"/>
          <w:szCs w:val="24"/>
        </w:rPr>
        <w:t xml:space="preserve"> =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A108A">
        <w:rPr>
          <w:rFonts w:ascii="Times New Roman" w:hAnsi="Times New Roman" w:cs="Times New Roman"/>
          <w:sz w:val="24"/>
          <w:szCs w:val="24"/>
        </w:rPr>
        <w:t>×(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A108A">
        <w:rPr>
          <w:rFonts w:ascii="Times New Roman" w:hAnsi="Times New Roman" w:cs="Times New Roman"/>
          <w:sz w:val="24"/>
          <w:szCs w:val="24"/>
        </w:rPr>
        <w:t>-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7A108A">
        <w:rPr>
          <w:rFonts w:ascii="Times New Roman" w:hAnsi="Times New Roman" w:cs="Times New Roman"/>
          <w:sz w:val="24"/>
          <w:szCs w:val="24"/>
        </w:rPr>
        <w:t>)/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A108A">
        <w:rPr>
          <w:rFonts w:ascii="Times New Roman" w:hAnsi="Times New Roman" w:cs="Times New Roman"/>
          <w:sz w:val="24"/>
          <w:szCs w:val="24"/>
        </w:rPr>
        <w:t>(29),</w:t>
      </w:r>
    </w:p>
    <w:p w14:paraId="279AD0DA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где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24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– время, за которое через фильтр проходит 250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мкл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буфера или суспензии эритроцитов, соответственно;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</w:rPr>
        <w:t xml:space="preserve">- число пор, занятых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нефильтрующимися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клетками после пропускания суспензии эритроцитов;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924B5">
        <w:rPr>
          <w:rFonts w:ascii="Times New Roman" w:hAnsi="Times New Roman" w:cs="Times New Roman"/>
          <w:sz w:val="24"/>
          <w:szCs w:val="24"/>
        </w:rPr>
        <w:t xml:space="preserve"> – известное общее число пор на фильтре;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24B5">
        <w:rPr>
          <w:rFonts w:ascii="Times New Roman" w:hAnsi="Times New Roman" w:cs="Times New Roman"/>
          <w:sz w:val="24"/>
          <w:szCs w:val="24"/>
        </w:rPr>
        <w:t xml:space="preserve"> – число эритроцитов, нанесенных на фильтр;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924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924B5">
        <w:rPr>
          <w:rFonts w:ascii="Times New Roman" w:hAnsi="Times New Roman" w:cs="Times New Roman"/>
          <w:sz w:val="24"/>
          <w:szCs w:val="24"/>
        </w:rPr>
        <w:t xml:space="preserve"> – время, за которое через фильтр, отмытый после пропускания суспензии, проходит еще 250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мкл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буфера. </w:t>
      </w:r>
    </w:p>
    <w:p w14:paraId="279AD0DB" w14:textId="77777777" w:rsidR="00CD149B" w:rsidRPr="00B924B5" w:rsidRDefault="00CD149B" w:rsidP="00553A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9AD0DC" w14:textId="77777777" w:rsidR="00CD149B" w:rsidRPr="00B924B5" w:rsidRDefault="00CD149B" w:rsidP="007335FD">
      <w:pPr>
        <w:pStyle w:val="2"/>
        <w:rPr>
          <w:i/>
        </w:rPr>
      </w:pPr>
      <w:bookmarkStart w:id="37" w:name="_Toc94790909"/>
      <w:r w:rsidRPr="00B924B5">
        <w:t>6</w:t>
      </w:r>
      <w:r w:rsidRPr="00B924B5">
        <w:tab/>
      </w:r>
      <w:r w:rsidRPr="007335FD">
        <w:rPr>
          <w:rStyle w:val="20"/>
          <w:b/>
        </w:rPr>
        <w:t xml:space="preserve">Эффективность удаления аммония </w:t>
      </w:r>
      <w:proofErr w:type="spellStart"/>
      <w:r w:rsidRPr="007335FD">
        <w:rPr>
          <w:rStyle w:val="20"/>
          <w:b/>
        </w:rPr>
        <w:t>аммоцитами</w:t>
      </w:r>
      <w:proofErr w:type="spellEnd"/>
      <w:r w:rsidRPr="007335FD">
        <w:rPr>
          <w:rStyle w:val="20"/>
          <w:b/>
        </w:rPr>
        <w:t xml:space="preserve">, содержащими ALT и GDH из </w:t>
      </w:r>
      <w:proofErr w:type="spellStart"/>
      <w:r w:rsidRPr="007335FD">
        <w:rPr>
          <w:rStyle w:val="20"/>
          <w:b/>
        </w:rPr>
        <w:t>Proteus</w:t>
      </w:r>
      <w:proofErr w:type="spellEnd"/>
      <w:r w:rsidRPr="007335FD">
        <w:rPr>
          <w:rStyle w:val="20"/>
          <w:b/>
        </w:rPr>
        <w:t xml:space="preserve"> </w:t>
      </w:r>
      <w:proofErr w:type="spellStart"/>
      <w:r w:rsidRPr="007335FD">
        <w:rPr>
          <w:rStyle w:val="20"/>
          <w:b/>
        </w:rPr>
        <w:t>sp</w:t>
      </w:r>
      <w:proofErr w:type="spellEnd"/>
      <w:r w:rsidRPr="007335FD">
        <w:rPr>
          <w:rStyle w:val="20"/>
          <w:b/>
        </w:rPr>
        <w:t xml:space="preserve">., </w:t>
      </w:r>
      <w:proofErr w:type="spellStart"/>
      <w:r w:rsidRPr="007335FD">
        <w:rPr>
          <w:rStyle w:val="20"/>
          <w:b/>
        </w:rPr>
        <w:t>in</w:t>
      </w:r>
      <w:proofErr w:type="spellEnd"/>
      <w:r w:rsidRPr="007335FD">
        <w:rPr>
          <w:rStyle w:val="20"/>
          <w:b/>
        </w:rPr>
        <w:t xml:space="preserve"> </w:t>
      </w:r>
      <w:proofErr w:type="spellStart"/>
      <w:r w:rsidRPr="007335FD">
        <w:rPr>
          <w:rStyle w:val="20"/>
          <w:b/>
        </w:rPr>
        <w:t>vitro</w:t>
      </w:r>
      <w:bookmarkEnd w:id="37"/>
      <w:proofErr w:type="spellEnd"/>
    </w:p>
    <w:p w14:paraId="279AD0DD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79AD0DE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Эффективность удаления аммония полученными ЭБР была исследована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vitro</w:t>
      </w:r>
      <w:r w:rsidRPr="00B924B5">
        <w:rPr>
          <w:rFonts w:ascii="Times New Roman" w:hAnsi="Times New Roman" w:cs="Times New Roman"/>
          <w:sz w:val="24"/>
          <w:szCs w:val="24"/>
        </w:rPr>
        <w:t xml:space="preserve">. Суспензию ЭБР с добавленным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B924B5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>) инкубировали 120-140 мин при 25°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924B5">
        <w:rPr>
          <w:rFonts w:ascii="Times New Roman" w:hAnsi="Times New Roman" w:cs="Times New Roman"/>
          <w:sz w:val="24"/>
          <w:szCs w:val="24"/>
        </w:rPr>
        <w:t xml:space="preserve">. Пробы из этой реакционной среды отбирали каждые 20 минут и измеряли концентрацию аммония и аланина. На Рисунке 20 (а) представлены типичные кинетические кривые для одного из экспериментов. В качестве контроля измеряли удаление аммония из среды с добавленным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924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присутствии нативных эритроцитов. В присутствии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наблюдалось линейное снижение концентрации аммония в среде и пропорциональная продукция аланина, тогда как в среде с нативными (контрольными) эритроцитами подобных изменений не наблюдалось. Кинетика удаления аммония из среды в присутствии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значительно отличалась от кинетики удаления аммония из среды, в которой присутствовали нативные эритроциты и свободная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(без А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24B5">
        <w:rPr>
          <w:rFonts w:ascii="Times New Roman" w:hAnsi="Times New Roman" w:cs="Times New Roman"/>
          <w:sz w:val="24"/>
          <w:szCs w:val="24"/>
        </w:rPr>
        <w:t xml:space="preserve">Т) (Рисунок 20 (б)). </w:t>
      </w:r>
    </w:p>
    <w:p w14:paraId="279AD0DF" w14:textId="77777777" w:rsidR="00CD149B" w:rsidRPr="00B924B5" w:rsidRDefault="001A5224" w:rsidP="00553A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1440" w:dyaOrig="1440" w14:anchorId="279AD1B7">
          <v:shape id="_x0000_s1030" type="#_x0000_t75" style="position:absolute;left:0;text-align:left;margin-left:0;margin-top:.45pt;width:422.9pt;height:299pt;z-index:251665408;mso-position-horizontal-relative:text;mso-position-vertical-relative:text">
            <v:imagedata r:id="rId35" o:title=""/>
            <w10:wrap type="topAndBottom"/>
          </v:shape>
          <o:OLEObject Type="Embed" ProgID="Origin50.Graph" ShapeID="_x0000_s1030" DrawAspect="Content" ObjectID="_1747570598" r:id="rId36"/>
        </w:object>
      </w:r>
      <w:r w:rsidR="00CD149B" w:rsidRPr="00B924B5">
        <w:rPr>
          <w:rFonts w:ascii="Times New Roman" w:hAnsi="Times New Roman" w:cs="Times New Roman"/>
          <w:b/>
          <w:sz w:val="24"/>
          <w:szCs w:val="24"/>
        </w:rPr>
        <w:t>Рисунок 20.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Типичная кинетика потребления аммония и производства аланина в присутствии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одного из доноров, или свободных ферментов в среде </w:t>
      </w:r>
      <w:r w:rsidR="00CD149B" w:rsidRPr="00B924B5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="00CD149B"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149B" w:rsidRPr="00B924B5">
        <w:rPr>
          <w:rFonts w:ascii="Times New Roman" w:hAnsi="Times New Roman" w:cs="Times New Roman"/>
          <w:i/>
          <w:sz w:val="24"/>
          <w:szCs w:val="24"/>
          <w:lang w:val="en-US"/>
        </w:rPr>
        <w:t>vitro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, </w:t>
      </w:r>
      <w:r w:rsidR="00CD149B" w:rsidRPr="00B924B5">
        <w:rPr>
          <w:rFonts w:ascii="Times New Roman" w:hAnsi="Times New Roman" w:cs="Times New Roman"/>
          <w:sz w:val="24"/>
          <w:szCs w:val="24"/>
        </w:rPr>
        <w:lastRenderedPageBreak/>
        <w:t xml:space="preserve">содержащей аммоний. Гематокрит суспензии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 xml:space="preserve"> 23%, температура 25</w:t>
      </w:r>
      <w:r w:rsidR="00CD149B" w:rsidRPr="00B924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С, концентрация добавленного 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CD149B" w:rsidRPr="00B924B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D149B" w:rsidRPr="00B924B5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="00CD149B" w:rsidRPr="00B924B5">
        <w:rPr>
          <w:rFonts w:ascii="Times New Roman" w:hAnsi="Times New Roman" w:cs="Times New Roman"/>
          <w:sz w:val="24"/>
          <w:szCs w:val="24"/>
        </w:rPr>
        <w:t xml:space="preserve"> в среде 1 </w:t>
      </w:r>
      <w:proofErr w:type="spellStart"/>
      <w:r w:rsidR="00CD149B" w:rsidRPr="00B924B5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="00CD149B" w:rsidRPr="00B924B5">
        <w:rPr>
          <w:rFonts w:ascii="Times New Roman" w:hAnsi="Times New Roman" w:cs="Times New Roman"/>
          <w:sz w:val="24"/>
          <w:szCs w:val="24"/>
        </w:rPr>
        <w:t>.</w:t>
      </w:r>
    </w:p>
    <w:p w14:paraId="279AD0E0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E1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Усредненные результаты показали, что удаление аммония биореакторами сопровождалось образованием пропорционального количества аланина (Рисунок 21). Это подтверждает, что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и А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924B5">
        <w:rPr>
          <w:rFonts w:ascii="Times New Roman" w:hAnsi="Times New Roman" w:cs="Times New Roman"/>
          <w:sz w:val="24"/>
          <w:szCs w:val="24"/>
        </w:rPr>
        <w:t xml:space="preserve">Т действуют в тандеме, и аммоний преобразуется в аланин в соответствии с уравнениями (16) и (18). </w:t>
      </w:r>
    </w:p>
    <w:p w14:paraId="279AD0E2" w14:textId="183E21D8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Также было показано, что скорость удаления аммония из среды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B924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i/>
          <w:sz w:val="24"/>
          <w:szCs w:val="24"/>
          <w:lang w:val="en-US"/>
        </w:rPr>
        <w:t>vitro</w:t>
      </w:r>
      <w:r w:rsidRPr="00B924B5">
        <w:rPr>
          <w:rFonts w:ascii="Times New Roman" w:hAnsi="Times New Roman" w:cs="Times New Roman"/>
          <w:sz w:val="24"/>
          <w:szCs w:val="24"/>
        </w:rPr>
        <w:t xml:space="preserve"> в присутствии </w:t>
      </w:r>
      <w:proofErr w:type="spellStart"/>
      <w:r w:rsidRPr="00B924B5">
        <w:rPr>
          <w:rFonts w:ascii="Times New Roman" w:hAnsi="Times New Roman" w:cs="Times New Roman"/>
          <w:sz w:val="24"/>
          <w:szCs w:val="24"/>
        </w:rPr>
        <w:t>аммоцитов</w:t>
      </w:r>
      <w:proofErr w:type="spellEnd"/>
      <w:r w:rsidRPr="00B924B5">
        <w:rPr>
          <w:rFonts w:ascii="Times New Roman" w:hAnsi="Times New Roman" w:cs="Times New Roman"/>
          <w:sz w:val="24"/>
          <w:szCs w:val="24"/>
        </w:rPr>
        <w:t xml:space="preserve"> зависит от активности в них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(Рисунок 22). Увеличение внутриклеточной концентрации </w:t>
      </w:r>
      <w:r w:rsidRPr="00B924B5">
        <w:rPr>
          <w:rFonts w:ascii="Times New Roman" w:hAnsi="Times New Roman" w:cs="Times New Roman"/>
          <w:sz w:val="24"/>
          <w:szCs w:val="24"/>
          <w:lang w:val="en-US"/>
        </w:rPr>
        <w:t>GDH</w:t>
      </w:r>
      <w:r w:rsidRPr="00B924B5">
        <w:rPr>
          <w:rFonts w:ascii="Times New Roman" w:hAnsi="Times New Roman" w:cs="Times New Roman"/>
          <w:sz w:val="24"/>
          <w:szCs w:val="24"/>
        </w:rPr>
        <w:t xml:space="preserve"> прямо пропорционально увеличивает эту скорость.  </w:t>
      </w:r>
    </w:p>
    <w:p w14:paraId="279AD0E6" w14:textId="22A51C0F" w:rsidR="00357058" w:rsidRPr="00EA0960" w:rsidRDefault="001A5224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1440" w:dyaOrig="1440" w14:anchorId="279AD1B8">
          <v:shape id="_x0000_s1042" type="#_x0000_t75" style="position:absolute;left:0;text-align:left;margin-left:97.2pt;margin-top:15.3pt;width:245.55pt;height:173.6pt;z-index:251683840;mso-position-horizontal-relative:text;mso-position-vertical-relative:text">
            <v:imagedata r:id="rId37" o:title=""/>
            <w10:wrap type="topAndBottom"/>
          </v:shape>
          <o:OLEObject Type="Embed" ProgID="Origin50.Graph" ShapeID="_x0000_s1042" DrawAspect="Content" ObjectID="_1747570599" r:id="rId38"/>
        </w:object>
      </w:r>
    </w:p>
    <w:p w14:paraId="22756195" w14:textId="77777777" w:rsidR="00EA0960" w:rsidRPr="00B924B5" w:rsidRDefault="00EA0960" w:rsidP="00EA096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Рисунок 21.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Связь между потреблением аммония и образованием аланина. Представлены данные для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полученных из эритроцитов разных доноров, проинкубированных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in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vitro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3 мл кювете при 25</w:t>
      </w:r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о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в течение 120-140 мин. Гематокрит суспензии 23%, концентрация добавленного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NH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4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Представлены средние величины ±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Для всех доноров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=2, кроме первой точки, где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=4.</w:t>
      </w:r>
    </w:p>
    <w:p w14:paraId="0C2D4429" w14:textId="77777777" w:rsidR="00EA0960" w:rsidRPr="00B924B5" w:rsidRDefault="001A5224" w:rsidP="00EA0960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58B11144">
          <v:shape id="_x0000_s1044" type="#_x0000_t75" style="position:absolute;left:0;text-align:left;margin-left:93.6pt;margin-top:29.3pt;width:249.5pt;height:176.45pt;z-index:251685888;mso-position-horizontal-relative:text;mso-position-vertical-relative:text">
            <v:imagedata r:id="rId39" o:title=""/>
            <w10:wrap type="topAndBottom"/>
          </v:shape>
          <o:OLEObject Type="Embed" ProgID="Origin50.Graph" ShapeID="_x0000_s1044" DrawAspect="Content" ObjectID="_1747570600" r:id="rId40"/>
        </w:object>
      </w:r>
    </w:p>
    <w:p w14:paraId="3F9C80C2" w14:textId="77777777" w:rsidR="00EA0960" w:rsidRPr="00B924B5" w:rsidRDefault="00EA0960" w:rsidP="00EA0960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2045E3A" w14:textId="77777777" w:rsidR="00EA0960" w:rsidRPr="00B924B5" w:rsidRDefault="00EA0960" w:rsidP="00EA096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Рисунок 22.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Зависимость скорости утилизации аммония в суспензии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in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vitro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активности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Proteus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sp</w:t>
      </w:r>
      <w:proofErr w:type="spellEnd"/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кювете. Гематокрит суспензии 23%, температура 25</w:t>
      </w:r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о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С, в среду добавлено 1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NH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4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Cl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10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пирувата. Активность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скорость потребления аммония выражены в МЕ/мл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/ч, соответственно.</w:t>
      </w:r>
    </w:p>
    <w:p w14:paraId="7C48F81A" w14:textId="77777777" w:rsidR="00EA0960" w:rsidRPr="00EA0960" w:rsidRDefault="00EA0960" w:rsidP="00553A2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E7" w14:textId="77777777" w:rsidR="00CD149B" w:rsidRPr="007335FD" w:rsidRDefault="00CD149B" w:rsidP="007335FD">
      <w:pPr>
        <w:pStyle w:val="2"/>
        <w:rPr>
          <w:b w:val="0"/>
          <w:color w:val="000000"/>
          <w:lang w:eastAsia="ru-RU"/>
        </w:rPr>
      </w:pPr>
      <w:bookmarkStart w:id="38" w:name="_Toc94790910"/>
      <w:r w:rsidRPr="007335FD">
        <w:rPr>
          <w:rFonts w:eastAsiaTheme="majorEastAsia"/>
          <w:b w:val="0"/>
        </w:rPr>
        <w:t>7</w:t>
      </w:r>
      <w:r w:rsidRPr="007335FD">
        <w:rPr>
          <w:rFonts w:eastAsiaTheme="majorEastAsia"/>
          <w:b w:val="0"/>
        </w:rPr>
        <w:tab/>
      </w:r>
      <w:r w:rsidRPr="007335FD">
        <w:rPr>
          <w:rStyle w:val="20"/>
          <w:rFonts w:eastAsiaTheme="majorEastAsia"/>
          <w:b/>
        </w:rPr>
        <w:t xml:space="preserve">Разработка автоматической установки для </w:t>
      </w:r>
      <w:r w:rsidRPr="007335FD">
        <w:rPr>
          <w:rStyle w:val="20"/>
          <w:b/>
        </w:rPr>
        <w:t>включения ферментов в эритроциты с помощью проточного гипоосмотического диализа</w:t>
      </w:r>
      <w:bookmarkEnd w:id="38"/>
    </w:p>
    <w:p w14:paraId="279AD0E8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0F0" w14:textId="4693FE3D" w:rsidR="00CD149B" w:rsidRPr="00B924B5" w:rsidRDefault="00CD149B" w:rsidP="00EA096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 xml:space="preserve">Включение ферментов, применяемых при терапии различных заболеваний, в эритроциты позволяет создать новую лекарственную форму этих ферментов (эритроциты-биореакторы), которая обладает рядом существенных преимуществ по сравнению с </w:t>
      </w:r>
      <w:r w:rsidR="00EA0960" w:rsidRPr="00EA0960">
        <w:rPr>
          <w:rFonts w:ascii="Times New Roman" w:hAnsi="Times New Roman" w:cs="Times New Roman"/>
          <w:sz w:val="24"/>
          <w:szCs w:val="24"/>
        </w:rPr>
        <w:t xml:space="preserve"> </w:t>
      </w:r>
      <w:r w:rsidRPr="00B924B5">
        <w:rPr>
          <w:rFonts w:ascii="Times New Roman" w:hAnsi="Times New Roman" w:cs="Times New Roman"/>
          <w:sz w:val="24"/>
          <w:szCs w:val="24"/>
        </w:rPr>
        <w:t>прямым введением в кровоток растворов данных ферментов. Основными из этих преимуществ являются отсутствие сильных аллергических реакций на препарат (т.к. он спрятан внутри собственных клеток организма и не распознается иммунной системой как чужеродный белок), удлинение времени жизни препарата в кровотоке (т.к. внутри эритроцитов он недоступен для антител и протеаз плазмы, которые могут снижать активность фермента) и снижение токсичности препарата для организма в результате снижения его пиковых концентраций в плазме в момент введения.</w:t>
      </w:r>
    </w:p>
    <w:p w14:paraId="279AD0F1" w14:textId="77777777" w:rsidR="00CD149B" w:rsidRPr="00B924B5" w:rsidRDefault="00CD149B" w:rsidP="00EA096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t>Несмотря на такие преимущества, применение подобных ЭБР в клинике очень ограничено. Это связано с отсутствием эффективных методов, позволяющих рутинно включать препараты в эритроциты для клинического применения, отсутствием методов надежной оценки эффективности предлагаемых препаратов, основанных на теоретическом анализе этой эффективности с помощью математических моделей, а также отсутствием систематических исследований факторов, которые могут влиять на эффективность работы создаваемых ЭБР. Данный раздел проекта был посвящен разработке автоматического устройства для включения биологически активных соединений в эритроциты с помощью метода обратимого гипоосмотического проточного диализа, а также подбору оптимальных условий для его проведения.</w:t>
      </w:r>
    </w:p>
    <w:p w14:paraId="279AD0F2" w14:textId="77777777" w:rsidR="00CD149B" w:rsidRPr="00B924B5" w:rsidRDefault="00CD149B" w:rsidP="00EA096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AD0F3" w14:textId="77777777" w:rsidR="00CD149B" w:rsidRPr="007335FD" w:rsidRDefault="00CD149B" w:rsidP="007335FD">
      <w:pPr>
        <w:pStyle w:val="3"/>
        <w:rPr>
          <w:b w:val="0"/>
        </w:rPr>
      </w:pPr>
      <w:bookmarkStart w:id="39" w:name="_Toc94790911"/>
      <w:r w:rsidRPr="007335FD">
        <w:t>7.1</w:t>
      </w:r>
      <w:r w:rsidRPr="007335FD">
        <w:rPr>
          <w:b w:val="0"/>
        </w:rPr>
        <w:tab/>
      </w:r>
      <w:r w:rsidRPr="007335FD">
        <w:rPr>
          <w:rStyle w:val="30"/>
          <w:b/>
        </w:rPr>
        <w:t>Автоматическая установка для получения эритроцитов-носителей биологически активных компонентов методом проточного гипоосмотического диализа</w:t>
      </w:r>
      <w:bookmarkEnd w:id="39"/>
    </w:p>
    <w:p w14:paraId="279AD0F4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</w:p>
    <w:p w14:paraId="279AD0F5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lastRenderedPageBreak/>
        <w:t>Схема разработанной автоматической установки для включения биологически активных веществ в эритроциты представлена на Рисунке 23.</w:t>
      </w:r>
    </w:p>
    <w:p w14:paraId="279AD0F6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Устройство можно условно разбить на блоки, выполняющие следующие функции:</w:t>
      </w:r>
    </w:p>
    <w:p w14:paraId="279AD0F7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блок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блок отмывания эритроцитов из исходной крови и отмывания полученных запечатанных эритроцитов-носителей, содержащих включенный биологически активны компонент (БАК), работающий при комнатной температуре; </w:t>
      </w:r>
    </w:p>
    <w:p w14:paraId="279AD0F8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блок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II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блок лизиса эритроцитов и концентрирования суспензии эритроцитов, отмытых из исходной крови, а также суспензии запечатанных эритроцитов-носителей, содержащих включенный БАК, температура внутри которого поддерживается постоянной (+4</w:t>
      </w:r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о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С); </w:t>
      </w:r>
    </w:p>
    <w:p w14:paraId="279AD0F9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блок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III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блок запечатывания, в котором помещается мешок, в который собирается суспензия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лизированных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присутствии БАК эритроцитов, причем от начального этапа работы устройства до полного окончания сбора этих эритроцитов в данном мешке он находится при комнатной температуре, а после завершения сбора, выполняется стадия запечатывания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лизированных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присутствии БАК эритроцитов при температуре от +37</w:t>
      </w:r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о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С. </w:t>
      </w:r>
    </w:p>
    <w:p w14:paraId="279AD0FA" w14:textId="77777777" w:rsidR="00CD149B" w:rsidRPr="00B924B5" w:rsidRDefault="00357058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Arial Unicode MS" w:hAnsi="Times New Roman" w:cs="Times New Roman"/>
          <w:noProof/>
          <w:color w:val="000000"/>
          <w:sz w:val="24"/>
          <w:szCs w:val="24"/>
          <w:u w:color="000000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74624" behindDoc="0" locked="0" layoutInCell="1" allowOverlap="1" wp14:anchorId="279AD1BA" wp14:editId="279AD1BB">
            <wp:simplePos x="0" y="0"/>
            <wp:positionH relativeFrom="margin">
              <wp:align>left</wp:align>
            </wp:positionH>
            <wp:positionV relativeFrom="page">
              <wp:posOffset>1911985</wp:posOffset>
            </wp:positionV>
            <wp:extent cx="6116321" cy="3375660"/>
            <wp:effectExtent l="0" t="0" r="0" b="0"/>
            <wp:wrapTopAndBottom distT="0" distB="0"/>
            <wp:docPr id="12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37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79AD0FD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Рисунок 23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. Схема автоматического устройства для включения биологически активных компонентов  в эритроциты методом гипоосмотического проточного диализа.</w:t>
      </w:r>
    </w:p>
    <w:p w14:paraId="279AD0FE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D0FF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В каждом указанном блоке размещаются емкости (пластиковые мешки). Мешок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предназначен для размещения в нем исходного материала - цельной крови пациента или донора, а затем, после осуществления стадии диализа, мешок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служит для сбора и последующего запечатывания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лизированных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эритроцитов-носителей, содержащих БАК; мешок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мешок, в который сразу помещают исходный материал, если это - предварительно отмытые эритроциты, либо</w:t>
      </w:r>
      <w:bookmarkStart w:id="40" w:name="_Hlk48996325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него собирается суспензия эритроцитов, полученных из исходной цельной крови на стадии отмывания; мешок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для полученных запечатанных и отмытых эритроцитов-носителей, мешки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для физиологического раствора; мешок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для гипоосмотического раствора</w:t>
      </w:r>
      <w:bookmarkEnd w:id="40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мешки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для растворов, используемых на стадии исходного и финального отмывания эритроцитов; а также мешки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для сбора отработанных растворов. В качестве емкостей для раствора включаемого биологически активного компонента (компонентов) и гипертонического раствора используются шприцы, являющиеся сменным элементом шприцевых насосов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соответственно.</w:t>
      </w:r>
    </w:p>
    <w:p w14:paraId="279AD100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Элементы заявляемого устройства соединены гибкими пластиковыми магистралями. Перемещение растворов и суспензии эритроцитов по системе магистралей обеспечивается работой перистальтических насосов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25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26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27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, а направление, по которому перемещаются растворы и суспензия эритроцитов на каждом из этапов работы устройства, обеспечивается открытием или перекрыванием соответствующих клапанов: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28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29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30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33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34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35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36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37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38,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39 </w:t>
      </w:r>
      <w:r w:rsidRPr="00B924B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и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40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79AD101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Устройство включает диализатор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13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внутренний контур которого заключен внутри полых волокон из полупроницаемой мембраны и окружен внешним контуром, и устройство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отмывания эритроцитов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включающее центрифужный конус. </w:t>
      </w:r>
    </w:p>
    <w:p w14:paraId="279AD102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Устройство включает ряд датчиков. Датчики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14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15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для измерения давления, на выходе из внешнего и входе во внутренний контур диализатора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13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соответственно; датчики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16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17 -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для измерения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гематокрита, например, оптические; датчики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18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19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20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которые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фиксируют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наличие жидкости (растворов и суспензии эритроцитов) в соответствующих магистралях. </w:t>
      </w:r>
    </w:p>
    <w:p w14:paraId="279AD103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качестве устройства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21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отмывания эритроцитов может быть использовано любое известное устройство для такого отмывания, например, устройство фирмы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Haemonetics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APC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-215 (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Haemonetics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SA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Швейцария), или специально сконструированный встроенный в установку узел для отмывания, содержащий центрифугу, сменную центрифугируемую емкость, необходимые насосы и мешки с исходным и отработанным раствором для отмывания эритроцитов. </w:t>
      </w:r>
    </w:p>
    <w:p w14:paraId="279AD104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Для мягкого перемешивания суспензии эритроцитов в мешках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3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используются шейкеры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23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24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соответственно.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термостатируемых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блоках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II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III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расположены датчики температуры (не показаны). </w:t>
      </w:r>
    </w:p>
    <w:p w14:paraId="279AD105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Схема последовательных этапов перемещения суспензии эритроцитов в ходе работы устройства представлена на Рисунке 24, где используются следующие обозначения: </w:t>
      </w:r>
    </w:p>
    <w:p w14:paraId="279AD106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ПН1 – перистальтический насос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25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 помощью которого суспензия эритроцитов поступает во внутренний контур диализатора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13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ПН2 и ПН3 – перистальтические насосы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26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27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 помощью которых физиологический раствор из мешка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гипоосмотический раствор из мешка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поступают во внешний контур диализатора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13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откачиваются из этого контура, соответственно; ШН1 и ШН2 – шприцевой насос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подачи включаемого биологически активного компонента (или компонентов) и шприцевой насос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гиперосмотического раствора, соответственно; ЭН – полученные эритроциты-носители, содержащие БАК. </w:t>
      </w:r>
    </w:p>
    <w:p w14:paraId="279AD107" w14:textId="77777777" w:rsidR="00357058" w:rsidRPr="00B924B5" w:rsidRDefault="00357058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Arial Unicode MS" w:hAnsi="Times New Roman" w:cs="Times New Roman"/>
          <w:noProof/>
          <w:color w:val="000000"/>
          <w:sz w:val="24"/>
          <w:szCs w:val="24"/>
          <w:u w:color="000000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anchor distT="0" distB="0" distL="0" distR="0" simplePos="0" relativeHeight="251675648" behindDoc="0" locked="0" layoutInCell="1" allowOverlap="1" wp14:anchorId="279AD1BC" wp14:editId="279AD1BD">
            <wp:simplePos x="0" y="0"/>
            <wp:positionH relativeFrom="page">
              <wp:posOffset>1264920</wp:posOffset>
            </wp:positionH>
            <wp:positionV relativeFrom="page">
              <wp:posOffset>1059180</wp:posOffset>
            </wp:positionV>
            <wp:extent cx="5204460" cy="6370320"/>
            <wp:effectExtent l="0" t="0" r="0" b="0"/>
            <wp:wrapTopAndBottom distT="0" distB="0"/>
            <wp:docPr id="13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6370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AD108" w14:textId="77777777" w:rsidR="00357058" w:rsidRPr="00B924B5" w:rsidRDefault="00357058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D109" w14:textId="77777777" w:rsidR="00357058" w:rsidRPr="00B924B5" w:rsidRDefault="00357058" w:rsidP="00553A2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Рисунок 24.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Схема потоков суспензии эритроцитов в разработанном устройстве. (Описание обозначений см. в тексте).</w:t>
      </w:r>
    </w:p>
    <w:p w14:paraId="279AD10A" w14:textId="77777777" w:rsidR="00357058" w:rsidRPr="00B924B5" w:rsidRDefault="00357058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D10B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Каждый этап работы устройства обозначен отдельным индексом. В качестве исходного материала в устройстве используется либо цельная кровь, либо предварительно отмытая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эритромасса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(указано, как этапы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а1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или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а2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Рисунке 24, соответственно). Перемещения суспензии эритроцитов по магистралям устройства на каждом этапе работы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устройства обозначены следующим образом: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a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1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а2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введение исходного материала (исходной крови или исходных отмытых эритроцитов, соответственно) в систему;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b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подача цельной крови из мешка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отмывание;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c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сбор отмытых эритроцитов в мешок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суспензии отмытых эритроцитов;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–концентрирование отмытых эритроцитов;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e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диализ и сбор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лизированных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присутствии БАК эритроцитов в блок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III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запечатывания;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f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подача запечатанных ЭН на отмывание;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g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сбор запечатанных эритроцитов-носителей после их отмывания в мешок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суспензии ЭН;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концентрирование полученных ЭН после их отмывания. </w:t>
      </w:r>
    </w:p>
    <w:p w14:paraId="279AD10C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Если в качестве исходного материала используют цельную кровь, то после этапа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а1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последовательно осуществляются этапы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b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если в качестве исходного материала используют предварительно отмытую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эритромассу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то после этапа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а2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осуществляются этапы 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е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79AD10D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D10E" w14:textId="77777777" w:rsidR="00CD149B" w:rsidRPr="00B924B5" w:rsidRDefault="00CD149B" w:rsidP="007335FD">
      <w:pPr>
        <w:pStyle w:val="3"/>
        <w:rPr>
          <w:rFonts w:eastAsia="Calibri"/>
          <w:lang w:eastAsia="ru-RU"/>
        </w:rPr>
      </w:pPr>
      <w:bookmarkStart w:id="41" w:name="_Toc94790912"/>
      <w:r w:rsidRPr="00B924B5">
        <w:rPr>
          <w:rFonts w:eastAsia="Calibri"/>
          <w:lang w:eastAsia="ru-RU"/>
        </w:rPr>
        <w:t>7.2</w:t>
      </w:r>
      <w:r w:rsidRPr="00B924B5">
        <w:rPr>
          <w:rFonts w:eastAsia="Calibri"/>
          <w:lang w:eastAsia="ru-RU"/>
        </w:rPr>
        <w:tab/>
      </w:r>
      <w:r w:rsidRPr="007335FD">
        <w:rPr>
          <w:rStyle w:val="30"/>
          <w:b/>
        </w:rPr>
        <w:t>Оптимизация условий включения ферментных препаратов в эритроциты с помощью проточного гипоосмотического диализа</w:t>
      </w:r>
      <w:bookmarkEnd w:id="41"/>
    </w:p>
    <w:p w14:paraId="279AD10F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D110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Один из этапов работы над проектом был связан с подбором оптимальных условий включения ферментных препаратов в эритроциты с помощью разработанной установки для проточного гипоосмотического диализа. Были подобраны скорости протекания суспензии эритроцитов во внутреннем отсеке диализатора и скорости протекания физиологического или гипоосмотического раствора во внешнем отсеке диализатора на стадиях концентрирования </w:t>
      </w:r>
      <w:r w:rsidRPr="00B924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279AD1BE" wp14:editId="279AD1BF">
                <wp:simplePos x="0" y="0"/>
                <wp:positionH relativeFrom="page">
                  <wp:align>right</wp:align>
                </wp:positionH>
                <wp:positionV relativeFrom="paragraph">
                  <wp:posOffset>4720590</wp:posOffset>
                </wp:positionV>
                <wp:extent cx="62865" cy="827405"/>
                <wp:effectExtent l="0" t="0" r="0" b="2540"/>
                <wp:wrapTopAndBottom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865" cy="8274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9AD1CC" w14:textId="77777777" w:rsidR="00951610" w:rsidRPr="00DA7C55" w:rsidRDefault="00951610" w:rsidP="00CD149B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AD1B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-46.25pt;margin-top:371.7pt;width:4.95pt;height:65.15pt;flip:x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" o:allowoverlap="f" stroked="f">
                <v:textbox style="mso-fit-shape-to-text:t" inset="0,0,0,0">
                  <w:txbxContent>
                    <w:p w14:paraId="279AD1CC" w14:textId="77777777" w:rsidR="00951610" w:rsidRPr="00DA7C55" w:rsidRDefault="00951610" w:rsidP="00CD149B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  <w10:anchorlock/>
              </v:shape>
            </w:pict>
          </mc:Fallback>
        </mc:AlternateConten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суспензии отмытых эритроцитов или эритроцитов, нагруженных ферментным препаратом, а также на стадии диализа исходных отмытых эритроцитов. Было подобрано также оптимальное трансмембранное давление в диализаторе на стадии концентрирования и стадии диализа 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осмоляльность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гипоосмотического раствора при проведении диализа. </w:t>
      </w:r>
    </w:p>
    <w:p w14:paraId="279AD111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основании большого числа (более 165) экспериментов были выбраны следующие условия:</w:t>
      </w:r>
    </w:p>
    <w:p w14:paraId="279AD112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Скорость прокачки суспензии эритроцитов по внутреннему контуру диализатора: </w:t>
      </w:r>
    </w:p>
    <w:p w14:paraId="279AD113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при диализе – от 1 до 10 мл/мин;</w:t>
      </w:r>
    </w:p>
    <w:p w14:paraId="279AD114" w14:textId="77777777" w:rsidR="00CD149B" w:rsidRPr="00B924B5" w:rsidRDefault="00CD149B" w:rsidP="00553A28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при концентрировании – 20-30 мл/мин.</w:t>
      </w:r>
    </w:p>
    <w:p w14:paraId="279AD115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Скорость прокачки раствора по внешнему контуру диализатора: </w:t>
      </w:r>
    </w:p>
    <w:p w14:paraId="2AAFF41C" w14:textId="77777777" w:rsidR="002148AB" w:rsidRPr="002148AB" w:rsidRDefault="00CD149B" w:rsidP="002148AB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физраствор при концентрировании суспен</w:t>
      </w:r>
      <w:r w:rsidR="002148AB">
        <w:rPr>
          <w:rFonts w:ascii="Times New Roman" w:eastAsia="Calibri" w:hAnsi="Times New Roman" w:cs="Times New Roman"/>
          <w:sz w:val="24"/>
          <w:szCs w:val="24"/>
          <w:lang w:eastAsia="ru-RU"/>
        </w:rPr>
        <w:t>зии эритроцитов – 20-30 мл/мин;</w:t>
      </w:r>
    </w:p>
    <w:p w14:paraId="279AD117" w14:textId="3B34AC6A" w:rsidR="00CD149B" w:rsidRPr="00B924B5" w:rsidRDefault="00CD149B" w:rsidP="002148AB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гипоосмотический раствор при диализе – 20-30 мл/мин. </w:t>
      </w:r>
    </w:p>
    <w:p w14:paraId="279AD118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3. Трансмембранное давление в диализаторе:</w:t>
      </w:r>
    </w:p>
    <w:p w14:paraId="279AD119" w14:textId="77777777" w:rsidR="00CD149B" w:rsidRPr="00B924B5" w:rsidRDefault="00CD149B" w:rsidP="00553A28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при концентрировании – 90-120 мм рт. ст.;</w:t>
      </w:r>
    </w:p>
    <w:p w14:paraId="279AD11A" w14:textId="77777777" w:rsidR="00CD149B" w:rsidRPr="00B924B5" w:rsidRDefault="00CD149B" w:rsidP="00553A28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при диализе – 160-180 мм рт. ст.</w:t>
      </w:r>
    </w:p>
    <w:p w14:paraId="279AD11B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Осмоляльность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гипоосмотического буфера при диализе – 60-90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мОсм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/кг.</w:t>
      </w:r>
    </w:p>
    <w:p w14:paraId="279AD11C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Скорости работы всех насосов изменялись автоматически с помощью управляющего блока, так, чтобы поддерживать выбранные трансмембранные давления. Это увеличило выходы полученных эритроцитов-носителей биологически активного препарата и улучшило их свойства, которые стали приближаться к свойствам исходных нативных эритроцитов. Эффективность инкапсуляции различных ферментов в эритроциты при выбранных оптимальных условиях представлена в Таблице 2.</w:t>
      </w:r>
    </w:p>
    <w:p w14:paraId="279AD11D" w14:textId="77777777" w:rsidR="00CD149B" w:rsidRPr="00B924B5" w:rsidRDefault="00CD149B" w:rsidP="00553A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D11E" w14:textId="77777777" w:rsidR="00CD149B" w:rsidRDefault="00CD149B" w:rsidP="008A03A5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Таблица 2</w:t>
      </w:r>
      <w:r w:rsidR="008A03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-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Эффективность включения различных ферментов в эритроциты методом проточного гипоосмотического диализа*</w:t>
      </w:r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)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14:paraId="279AD11F" w14:textId="77777777" w:rsidR="008A03A5" w:rsidRPr="00B924B5" w:rsidRDefault="008A03A5" w:rsidP="008A03A5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71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2"/>
        <w:gridCol w:w="993"/>
        <w:gridCol w:w="2126"/>
        <w:gridCol w:w="2126"/>
        <w:gridCol w:w="1276"/>
        <w:gridCol w:w="1128"/>
      </w:tblGrid>
      <w:tr w:rsidR="00CD149B" w:rsidRPr="00B924B5" w14:paraId="279AD125" w14:textId="77777777" w:rsidTr="00CD149B">
        <w:trPr>
          <w:trHeight w:val="540"/>
        </w:trPr>
        <w:tc>
          <w:tcPr>
            <w:tcW w:w="2715" w:type="dxa"/>
            <w:gridSpan w:val="2"/>
          </w:tcPr>
          <w:p w14:paraId="279AD120" w14:textId="77777777" w:rsidR="00CD149B" w:rsidRPr="00B924B5" w:rsidRDefault="00CD149B" w:rsidP="00553A28">
            <w:pPr>
              <w:spacing w:before="120" w:after="12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Включаемый в эритроциты фермент</w:t>
            </w:r>
          </w:p>
        </w:tc>
        <w:tc>
          <w:tcPr>
            <w:tcW w:w="2126" w:type="dxa"/>
          </w:tcPr>
          <w:p w14:paraId="279AD121" w14:textId="77777777" w:rsidR="00CD149B" w:rsidRPr="00B924B5" w:rsidRDefault="00CD149B" w:rsidP="00553A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Эффективность инкапсуляции фермента (</w:t>
            </w:r>
            <w:r w:rsidRPr="00B924B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E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), %</w:t>
            </w:r>
          </w:p>
        </w:tc>
        <w:tc>
          <w:tcPr>
            <w:tcW w:w="2126" w:type="dxa"/>
          </w:tcPr>
          <w:p w14:paraId="279AD122" w14:textId="77777777" w:rsidR="00CD149B" w:rsidRPr="00B924B5" w:rsidRDefault="00CD149B" w:rsidP="00553A28">
            <w:pPr>
              <w:spacing w:before="120" w:after="12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Относительная эффективность включения (</w:t>
            </w:r>
            <w:r w:rsidRPr="00B924B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R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), %</w:t>
            </w:r>
          </w:p>
        </w:tc>
        <w:tc>
          <w:tcPr>
            <w:tcW w:w="1276" w:type="dxa"/>
          </w:tcPr>
          <w:p w14:paraId="279AD123" w14:textId="77777777" w:rsidR="00CD149B" w:rsidRPr="00B924B5" w:rsidRDefault="00CD149B" w:rsidP="00553A28">
            <w:pPr>
              <w:spacing w:before="120" w:after="12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Выход клеток (</w:t>
            </w:r>
            <w:r w:rsidRPr="00B924B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), %</w:t>
            </w:r>
          </w:p>
        </w:tc>
        <w:tc>
          <w:tcPr>
            <w:tcW w:w="1128" w:type="dxa"/>
          </w:tcPr>
          <w:p w14:paraId="279AD124" w14:textId="77777777" w:rsidR="00CD149B" w:rsidRPr="00B924B5" w:rsidRDefault="00CD149B" w:rsidP="00553A28">
            <w:pPr>
              <w:spacing w:before="120" w:after="12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опытов (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CD149B" w:rsidRPr="00B924B5" w14:paraId="279AD12B" w14:textId="77777777" w:rsidTr="00CD149B">
        <w:trPr>
          <w:trHeight w:val="540"/>
        </w:trPr>
        <w:tc>
          <w:tcPr>
            <w:tcW w:w="2715" w:type="dxa"/>
            <w:gridSpan w:val="2"/>
          </w:tcPr>
          <w:p w14:paraId="279AD126" w14:textId="77777777" w:rsidR="00CD149B" w:rsidRPr="00B924B5" w:rsidRDefault="00CD149B" w:rsidP="00553A28">
            <w:pPr>
              <w:spacing w:before="120" w:after="12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L-</w:t>
            </w:r>
            <w:proofErr w:type="spellStart"/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аспарагиназа</w:t>
            </w:r>
            <w:proofErr w:type="spellEnd"/>
          </w:p>
        </w:tc>
        <w:tc>
          <w:tcPr>
            <w:tcW w:w="2126" w:type="dxa"/>
          </w:tcPr>
          <w:p w14:paraId="279AD127" w14:textId="77777777" w:rsidR="00CD149B" w:rsidRPr="00B924B5" w:rsidRDefault="00CD149B" w:rsidP="00553A28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22.8 ± 4.7</w:t>
            </w:r>
          </w:p>
        </w:tc>
        <w:tc>
          <w:tcPr>
            <w:tcW w:w="2126" w:type="dxa"/>
          </w:tcPr>
          <w:p w14:paraId="279AD128" w14:textId="77777777" w:rsidR="00CD149B" w:rsidRPr="00B924B5" w:rsidRDefault="00CD149B" w:rsidP="00553A28">
            <w:pPr>
              <w:spacing w:before="120" w:after="120" w:line="240" w:lineRule="auto"/>
              <w:ind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51.8 ± 9.6</w:t>
            </w:r>
          </w:p>
        </w:tc>
        <w:tc>
          <w:tcPr>
            <w:tcW w:w="1276" w:type="dxa"/>
          </w:tcPr>
          <w:p w14:paraId="279AD129" w14:textId="77777777" w:rsidR="00CD149B" w:rsidRPr="00B924B5" w:rsidRDefault="00CD149B" w:rsidP="00553A28">
            <w:pPr>
              <w:spacing w:before="120" w:after="120" w:line="240" w:lineRule="auto"/>
              <w:ind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55.6 ± 5.0</w:t>
            </w:r>
          </w:p>
        </w:tc>
        <w:tc>
          <w:tcPr>
            <w:tcW w:w="1128" w:type="dxa"/>
          </w:tcPr>
          <w:p w14:paraId="279AD12A" w14:textId="77777777" w:rsidR="00CD149B" w:rsidRPr="00B924B5" w:rsidRDefault="00CD149B" w:rsidP="00553A28">
            <w:pPr>
              <w:spacing w:before="120" w:after="120" w:line="240" w:lineRule="auto"/>
              <w:ind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D149B" w:rsidRPr="00B924B5" w14:paraId="279AD134" w14:textId="77777777" w:rsidTr="00CD149B">
        <w:trPr>
          <w:trHeight w:val="540"/>
        </w:trPr>
        <w:tc>
          <w:tcPr>
            <w:tcW w:w="1722" w:type="dxa"/>
            <w:vMerge w:val="restart"/>
          </w:tcPr>
          <w:p w14:paraId="279AD12C" w14:textId="77777777" w:rsidR="00CD149B" w:rsidRPr="00B924B5" w:rsidRDefault="00CD149B" w:rsidP="00553A28">
            <w:pPr>
              <w:spacing w:before="120" w:after="12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GDH 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B924B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 xml:space="preserve">Proteus sp. + 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L</w:t>
            </w:r>
            <w:r w:rsidRPr="00B924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993" w:type="dxa"/>
          </w:tcPr>
          <w:p w14:paraId="279AD12D" w14:textId="77777777" w:rsidR="00CD149B" w:rsidRPr="00B924B5" w:rsidRDefault="00CD149B" w:rsidP="00553A28">
            <w:pPr>
              <w:spacing w:before="120" w:after="12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GDH</w:t>
            </w:r>
          </w:p>
        </w:tc>
        <w:tc>
          <w:tcPr>
            <w:tcW w:w="2126" w:type="dxa"/>
          </w:tcPr>
          <w:p w14:paraId="279AD12E" w14:textId="77777777" w:rsidR="00CD149B" w:rsidRPr="00B924B5" w:rsidRDefault="00CD149B" w:rsidP="00553A28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13.5 ± 3.6</w:t>
            </w:r>
          </w:p>
        </w:tc>
        <w:tc>
          <w:tcPr>
            <w:tcW w:w="2126" w:type="dxa"/>
          </w:tcPr>
          <w:p w14:paraId="279AD12F" w14:textId="77777777" w:rsidR="00CD149B" w:rsidRPr="00B924B5" w:rsidRDefault="00CD149B" w:rsidP="00553A28">
            <w:pPr>
              <w:spacing w:before="120" w:after="120" w:line="240" w:lineRule="auto"/>
              <w:ind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29.7 ± 8.5</w:t>
            </w:r>
          </w:p>
        </w:tc>
        <w:tc>
          <w:tcPr>
            <w:tcW w:w="1276" w:type="dxa"/>
            <w:vMerge w:val="restart"/>
          </w:tcPr>
          <w:p w14:paraId="279AD130" w14:textId="77777777" w:rsidR="00CD149B" w:rsidRPr="00B924B5" w:rsidRDefault="00CD149B" w:rsidP="00553A28">
            <w:pPr>
              <w:spacing w:before="120" w:after="12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79AD131" w14:textId="77777777" w:rsidR="00CD149B" w:rsidRPr="00B924B5" w:rsidRDefault="00CD149B" w:rsidP="00553A28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69.2 ± 9.0</w:t>
            </w:r>
          </w:p>
        </w:tc>
        <w:tc>
          <w:tcPr>
            <w:tcW w:w="1128" w:type="dxa"/>
            <w:vMerge w:val="restart"/>
          </w:tcPr>
          <w:p w14:paraId="279AD132" w14:textId="77777777" w:rsidR="00CD149B" w:rsidRPr="00B924B5" w:rsidRDefault="00CD149B" w:rsidP="00553A28">
            <w:pPr>
              <w:spacing w:before="120" w:after="12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79AD133" w14:textId="77777777" w:rsidR="00CD149B" w:rsidRPr="00B924B5" w:rsidRDefault="00CD149B" w:rsidP="00553A28">
            <w:pPr>
              <w:spacing w:before="120" w:after="120" w:line="240" w:lineRule="auto"/>
              <w:ind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D149B" w:rsidRPr="00B924B5" w14:paraId="279AD13B" w14:textId="77777777" w:rsidTr="00CD149B">
        <w:trPr>
          <w:trHeight w:val="540"/>
        </w:trPr>
        <w:tc>
          <w:tcPr>
            <w:tcW w:w="1722" w:type="dxa"/>
            <w:vMerge/>
          </w:tcPr>
          <w:p w14:paraId="279AD135" w14:textId="77777777" w:rsidR="00CD149B" w:rsidRPr="00B924B5" w:rsidRDefault="00CD149B" w:rsidP="00553A28">
            <w:pPr>
              <w:spacing w:before="120" w:after="120" w:line="36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279AD136" w14:textId="77777777" w:rsidR="00CD149B" w:rsidRPr="00B924B5" w:rsidRDefault="00CD149B" w:rsidP="00553A28">
            <w:pPr>
              <w:spacing w:before="120" w:after="120" w:line="36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126" w:type="dxa"/>
          </w:tcPr>
          <w:p w14:paraId="279AD137" w14:textId="77777777" w:rsidR="00CD149B" w:rsidRPr="00B924B5" w:rsidRDefault="00CD149B" w:rsidP="00553A28">
            <w:pPr>
              <w:spacing w:before="120" w:after="12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28.4 ± 5.4</w:t>
            </w:r>
          </w:p>
        </w:tc>
        <w:tc>
          <w:tcPr>
            <w:tcW w:w="2126" w:type="dxa"/>
          </w:tcPr>
          <w:p w14:paraId="279AD138" w14:textId="77777777" w:rsidR="00CD149B" w:rsidRPr="00B924B5" w:rsidRDefault="00CD149B" w:rsidP="00553A28">
            <w:pPr>
              <w:spacing w:before="120" w:after="120" w:line="360" w:lineRule="auto"/>
              <w:ind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4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61.8 ± 7.8</w:t>
            </w:r>
          </w:p>
        </w:tc>
        <w:tc>
          <w:tcPr>
            <w:tcW w:w="1276" w:type="dxa"/>
            <w:vMerge/>
          </w:tcPr>
          <w:p w14:paraId="279AD139" w14:textId="77777777" w:rsidR="00CD149B" w:rsidRPr="00B924B5" w:rsidRDefault="00CD149B" w:rsidP="00553A28">
            <w:pPr>
              <w:spacing w:before="120" w:after="12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8" w:type="dxa"/>
            <w:vMerge/>
          </w:tcPr>
          <w:p w14:paraId="279AD13A" w14:textId="77777777" w:rsidR="00CD149B" w:rsidRPr="00B924B5" w:rsidRDefault="00CD149B" w:rsidP="00553A28">
            <w:pPr>
              <w:spacing w:before="120" w:after="12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79AD13C" w14:textId="77777777" w:rsidR="00CD149B" w:rsidRPr="00B924B5" w:rsidRDefault="00CD149B" w:rsidP="00553A28">
      <w:pPr>
        <w:spacing w:before="120"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B924B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  <w:r w:rsidRPr="00B92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средние величины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± стандартные отклонения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Mean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±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14:paraId="279AD13D" w14:textId="77777777" w:rsidR="00CD149B" w:rsidRPr="00B924B5" w:rsidRDefault="00CD149B" w:rsidP="00553A28">
      <w:pPr>
        <w:spacing w:before="120"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D13E" w14:textId="77777777" w:rsidR="00CD149B" w:rsidRPr="00B924B5" w:rsidRDefault="00CD149B" w:rsidP="00553A28">
      <w:pPr>
        <w:spacing w:before="120"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Эффективность инкапсуляции и выход клеток были определены по стандартным формулам (25,26). Представленная в таблице 2 относительная эффективность включения (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R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рассчитывается согласно формуле (30) и представляет собой процент, который реально полученная удельная активность фермента в ЭБР составляет от максимально возможной в данных условиях (за 100% принимают активность фермента, добавленную в суспензию исходных клеток).  </w:t>
      </w:r>
    </w:p>
    <w:p w14:paraId="279AD13F" w14:textId="77777777" w:rsidR="00CD149B" w:rsidRPr="00B924B5" w:rsidRDefault="00CD149B" w:rsidP="00553A28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9AD140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Pr="00B924B5">
        <w:rPr>
          <w:rFonts w:ascii="Times New Roman" w:eastAsia="Arial Unicode MS" w:hAnsi="Times New Roman" w:cs="Arial Unicode MS"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(%) = 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susp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. ЭБР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×100</w:t>
      </w:r>
      <w:proofErr w:type="gramStart"/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/(</w:t>
      </w:r>
      <w:proofErr w:type="gramEnd"/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susp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RBCs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×</w:t>
      </w:r>
      <w:proofErr w:type="spellStart"/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Ht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susp</w:t>
      </w:r>
      <w:proofErr w:type="spellEnd"/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. ЭБР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 w:rsidRPr="00B924B5">
        <w:rPr>
          <w:rFonts w:ascii="Times New Roman" w:eastAsia="Arial Unicode MS" w:hAnsi="Times New Roman" w:cs="Arial Unicode MS"/>
          <w:i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(30),</w:t>
      </w:r>
    </w:p>
    <w:p w14:paraId="279AD141" w14:textId="77777777" w:rsidR="00CD149B" w:rsidRPr="00B924B5" w:rsidRDefault="00CD149B" w:rsidP="00553A28">
      <w:pPr>
        <w:spacing w:after="0" w:line="360" w:lineRule="auto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где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susp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RBCs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susp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ЭБР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активности фермента в исходной суспензии эритроцитов и в суспензии полученных ЭБР, соответственно, 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Ht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susp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ЭБР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– гематокрит в суспензии полученных ЭБР. </w:t>
      </w:r>
    </w:p>
    <w:p w14:paraId="279AD142" w14:textId="77777777" w:rsidR="00CD149B" w:rsidRPr="00B924B5" w:rsidRDefault="00CD149B" w:rsidP="00553A28">
      <w:pPr>
        <w:spacing w:after="0" w:line="360" w:lineRule="auto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43" w14:textId="77777777" w:rsidR="00CD149B" w:rsidRPr="00B924B5" w:rsidRDefault="00CD149B" w:rsidP="007335FD">
      <w:pPr>
        <w:pStyle w:val="2"/>
        <w:rPr>
          <w:color w:val="000000"/>
          <w:lang w:eastAsia="ru-RU"/>
        </w:rPr>
      </w:pPr>
      <w:bookmarkStart w:id="42" w:name="_Toc94790913"/>
      <w:r w:rsidRPr="00B924B5">
        <w:rPr>
          <w:rFonts w:eastAsia="Arial Unicode MS" w:cs="Arial Unicode MS"/>
          <w:iCs/>
          <w:color w:val="000000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8</w:t>
      </w:r>
      <w:r w:rsidRPr="00B924B5">
        <w:rPr>
          <w:rFonts w:eastAsia="Arial Unicode MS" w:cs="Arial Unicode MS"/>
          <w:iCs/>
          <w:color w:val="000000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bookmarkStart w:id="43" w:name="_Toc62906103"/>
      <w:r w:rsidRPr="007335FD">
        <w:rPr>
          <w:rStyle w:val="20"/>
          <w:b/>
        </w:rPr>
        <w:t>Создание стерильного препарата L-</w:t>
      </w:r>
      <w:proofErr w:type="spellStart"/>
      <w:r w:rsidRPr="007335FD">
        <w:rPr>
          <w:rStyle w:val="20"/>
          <w:b/>
        </w:rPr>
        <w:t>аспарагиназы</w:t>
      </w:r>
      <w:proofErr w:type="spellEnd"/>
      <w:r w:rsidRPr="007335FD">
        <w:rPr>
          <w:rStyle w:val="20"/>
          <w:b/>
        </w:rPr>
        <w:t xml:space="preserve"> для применения в клинике</w:t>
      </w:r>
      <w:bookmarkEnd w:id="42"/>
      <w:bookmarkEnd w:id="43"/>
      <w:r w:rsidRPr="00B924B5">
        <w:rPr>
          <w:color w:val="000000"/>
          <w:lang w:eastAsia="ru-RU"/>
        </w:rPr>
        <w:t xml:space="preserve"> </w:t>
      </w:r>
    </w:p>
    <w:p w14:paraId="279AD144" w14:textId="77777777" w:rsidR="00CD149B" w:rsidRPr="00B924B5" w:rsidRDefault="00CD149B" w:rsidP="00553A28">
      <w:pPr>
        <w:spacing w:after="0" w:line="360" w:lineRule="auto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45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Используя выбранные параметры процедуры гипоосмотического проточного диализа, был получен стерильный препарат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для применения его в клинике. Задача терапевтического препарата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– снижать концентрацию аспарагина в плазме пациента до нулевого (или очень низкого) уровня, т.к. опухолевые клетки при остром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лимфобластном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лейкозе не могут самостоятельно синтезировать аспарагин, необходимый клетке для проведения белковых синтезов. Стерильность получаемых ЭБР была проверена стандартным образом в Бактериологической лаборатории НМИЦ ДГОИ им. Дмитрия Рогачева. Все препараты сохраняли стерильность в течение всего срока наблюдения (7 дней,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=26).</w:t>
      </w:r>
    </w:p>
    <w:p w14:paraId="279AD146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После этого были начаты клинические испытания безопасности данного препарата у детей с рецидивирующим острым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лимфобластным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лейкозом. Параллельно были измерены фармакокинетика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 и плазме и уровень аспарагина в плазме пациентов. </w:t>
      </w:r>
    </w:p>
    <w:p w14:paraId="279AD147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В настоящий момент в испытания были включены только 2 пациента:</w:t>
      </w:r>
    </w:p>
    <w:p w14:paraId="279AD148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Пациент 1: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пациент со вторым рецидивом ОЛЛ, возраст 12 лет, вес 30 кг, объем крови 1.8 л, суммарная доза препарата при введении 2700 МЕ/30 кг (т.е.90 МЕ/кг), через 24 ч после введения доза препарата в организме составляла уже 24 МЕ/кг. ЭБР приготовлены из собственных клеток пациента.</w:t>
      </w:r>
    </w:p>
    <w:p w14:paraId="279AD149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Пациентка 2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пациентка со вторым рецидивом ОЛЛ, возраст 12 лет, вес 39.6 кг, объем крови 2.4 л, суммарная доза препарата при введении 7490 МЕ/39.6 кг (т.е. 189 МЕ/кг), через 24 часа доза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составляла 62 МЕ/кг. На 17 день после введения ЭБР пациентке ввели одноразово препарат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полиэтиленгликоль-аспарагиназы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(ПЭГ-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) в дозе 1200 МЕ. ЭБР приготовлены из донорских эритроцитов.</w:t>
      </w:r>
    </w:p>
    <w:p w14:paraId="279AD14A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обоих случаях препарат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загруженной в эритроциты, не вызывал никаких побочных эффектов. Ниже приведены активности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(в крови и в плазме) и концентрации аспарагина (в плазме), измеренные у данных пациентов в ходе испытаний (Рисунки 25 и 26).</w:t>
      </w:r>
    </w:p>
    <w:p w14:paraId="279AD14B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Так как основным вопросом на первом этапе клинических испытаний был вопрос безопасности препарата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эритроцитах для пациентов, доза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введенная пациенту 1 была достаточно низкая. Это привело к тому, что после введения данной дозы аспарагин у пациента продержался на нулевом уровне не более 6 дней. Полученный результат полностью совпадал с представленным ранее в литературе для примерно аналогичной дозы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эритроцитах (30 МЕ/кг) [26,27].</w:t>
      </w:r>
    </w:p>
    <w:p w14:paraId="279AD14C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Вторая пациентка получила более высокую дозу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эритроцитах. Через 24 часа после введения она составляла примерно 63 МЕ/кг. Аспарагин все время держался на нулевом уровне, однако на 17 день в связи со сменой терапии пациентке была введена однократно доза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полиэтиленгликоль-аспарагиназы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(ПЭГ—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(1200 МЕ). Это отразилось на фармакокинетике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(Рисунок 26(а)), где наблюдался подъем активности после введения ПЭГ-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После этого активность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цельной крови и плазме продолжала постепенно падать. Уровень аспарагина оставался нулевым даже на 55 день после первоначального введения препарата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эритроцитах. Чтобы вычленить активность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крови, которая принадлежала ЭБР, мы вычли активность, измеренную в плазме из активности, измеренной в цельной крови (Рисунок 27).</w:t>
      </w:r>
    </w:p>
    <w:p w14:paraId="279AD14D" w14:textId="77777777" w:rsidR="00CD149B" w:rsidRPr="00B924B5" w:rsidRDefault="001A5224" w:rsidP="00553A28">
      <w:pPr>
        <w:spacing w:after="0" w:line="360" w:lineRule="auto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Theme="minorEastAsia"/>
          <w:b/>
          <w:noProof/>
          <w:lang w:eastAsia="ru-RU"/>
        </w:rPr>
        <w:lastRenderedPageBreak/>
        <w:object w:dxaOrig="1440" w:dyaOrig="1440" w14:anchorId="279AD1C0">
          <v:shape id="_x0000_s1037" type="#_x0000_t75" style="position:absolute;left:0;text-align:left;margin-left:0;margin-top:13.45pt;width:454.95pt;height:321.75pt;z-index:251676672;mso-position-horizontal-relative:text;mso-position-vertical-relative:text">
            <v:imagedata r:id="rId43" o:title=""/>
            <w10:wrap type="topAndBottom"/>
          </v:shape>
          <o:OLEObject Type="Embed" ProgID="Origin50.Graph" ShapeID="_x0000_s1037" DrawAspect="Content" ObjectID="_1747570601" r:id="rId44"/>
        </w:object>
      </w:r>
      <w:r w:rsidR="00CD149B"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Рисунок 25</w:t>
      </w:r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Фармакокинетика </w:t>
      </w:r>
      <w:proofErr w:type="spellStart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 и плазме (</w:t>
      </w:r>
      <w:r w:rsidR="00CD149B"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), а также уровень аспарагина в плазме (</w:t>
      </w:r>
      <w:r w:rsidR="00CD149B"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б</w:t>
      </w:r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пациента 1 после введения ему </w:t>
      </w:r>
      <w:proofErr w:type="spellStart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, включенной в эритроциты.</w:t>
      </w:r>
    </w:p>
    <w:p w14:paraId="279AD14E" w14:textId="77777777" w:rsidR="00CD149B" w:rsidRPr="00B924B5" w:rsidRDefault="00CD149B" w:rsidP="00553A28">
      <w:pPr>
        <w:spacing w:after="0" w:line="360" w:lineRule="auto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4F" w14:textId="77777777" w:rsidR="00CD149B" w:rsidRPr="00B924B5" w:rsidRDefault="00CD149B" w:rsidP="00553A28">
      <w:pPr>
        <w:spacing w:after="0" w:line="360" w:lineRule="auto"/>
        <w:ind w:firstLine="709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Необходимо отметить, что кинетика снижения активности введенной в ЭБР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представляла собой двухфазную кривую. В первые 24 ч после введения наблюдалось резкое падение этой активности (почти на 2/3), после чего это падение прекращалось и скорость дальнейшего экспоненциального падения активности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 становилась гораздо ниже (см. Рисунки 25 и 26). Время полувыведения для второй фазы фармакокинетической кривой (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1/2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) составляло 11.28 и 9.74 дня для пациентов 1 и 2, соответственно</w:t>
      </w:r>
      <w:r w:rsidR="0027160A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(Рисунок 27)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279AD150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51" w14:textId="77777777" w:rsidR="00CD149B" w:rsidRPr="00B924B5" w:rsidRDefault="001A5224" w:rsidP="00553A28">
      <w:pPr>
        <w:spacing w:after="0" w:line="360" w:lineRule="auto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Theme="minorEastAsia"/>
          <w:b/>
          <w:noProof/>
          <w:lang w:eastAsia="ru-RU"/>
        </w:rPr>
        <w:lastRenderedPageBreak/>
        <w:object w:dxaOrig="1440" w:dyaOrig="1440" w14:anchorId="279AD1C1">
          <v:shape id="_x0000_s1038" type="#_x0000_t75" style="position:absolute;left:0;text-align:left;margin-left:0;margin-top:.45pt;width:463.95pt;height:328.15pt;z-index:251677696;mso-position-horizontal-relative:text;mso-position-vertical-relative:text">
            <v:imagedata r:id="rId45" o:title=""/>
            <w10:wrap type="topAndBottom"/>
          </v:shape>
          <o:OLEObject Type="Embed" ProgID="Origin50.Graph" ShapeID="_x0000_s1038" DrawAspect="Content" ObjectID="_1747570602" r:id="rId46"/>
        </w:object>
      </w:r>
      <w:r w:rsidR="00CD149B"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Рисунок 26.</w:t>
      </w:r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Фармакокинетика </w:t>
      </w:r>
      <w:proofErr w:type="spellStart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 и плазме (</w:t>
      </w:r>
      <w:r w:rsidR="00CD149B"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), а также уровень аспарагина в плазме (</w:t>
      </w:r>
      <w:r w:rsidR="00CD149B"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б</w:t>
      </w:r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пациентки 2 после введения ее </w:t>
      </w:r>
      <w:proofErr w:type="spellStart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, включенной в эритроциты. На 17 день после введения пациентке была однократно введена ПЭГ-</w:t>
      </w:r>
      <w:proofErr w:type="spellStart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аспарагиназа</w:t>
      </w:r>
      <w:proofErr w:type="spellEnd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дозе 1200 МЕ. Пунктиром на панели (а) отмечена минимальная доза </w:t>
      </w:r>
      <w:proofErr w:type="spellStart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="00CD149B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л крови, которая, по данным литературы [26], убирает аспарагин из крови</w:t>
      </w:r>
      <w:r w:rsidR="0027160A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79AD152" w14:textId="77777777" w:rsidR="0027160A" w:rsidRPr="00B924B5" w:rsidRDefault="0027160A" w:rsidP="00553A28">
      <w:pPr>
        <w:spacing w:after="0" w:line="360" w:lineRule="auto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53" w14:textId="77777777" w:rsidR="0027160A" w:rsidRDefault="0027160A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Чтобы рассчитать в явном виде активность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крови, которая находится внутри эритроцитов, </w:t>
      </w:r>
      <w:r w:rsidR="007A5C6C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из полной активности фермента в крови была вычтена активность фермента в плазме в каждый момент времени. На Рисунке 27 представлена полученная кривая.</w:t>
      </w:r>
    </w:p>
    <w:p w14:paraId="279AD154" w14:textId="77777777" w:rsidR="00BA1A5C" w:rsidRDefault="00BA1A5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55" w14:textId="77777777" w:rsidR="00BA1A5C" w:rsidRDefault="00BA1A5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56" w14:textId="77777777" w:rsidR="00BA1A5C" w:rsidRDefault="001A5224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Theme="minorEastAsia"/>
          <w:noProof/>
          <w:lang w:eastAsia="ru-RU"/>
        </w:rPr>
        <w:lastRenderedPageBreak/>
        <w:object w:dxaOrig="1440" w:dyaOrig="1440" w14:anchorId="279AD1C2">
          <v:shape id="_x0000_s1039" type="#_x0000_t75" style="position:absolute;left:0;text-align:left;margin-left:2.4pt;margin-top:4.15pt;width:262.7pt;height:185.8pt;z-index:251678720;mso-position-horizontal-relative:text;mso-position-vertical-relative:text">
            <v:imagedata r:id="rId47" o:title=""/>
            <w10:wrap type="topAndBottom"/>
          </v:shape>
          <o:OLEObject Type="Embed" ProgID="Origin50.Graph" ShapeID="_x0000_s1039" DrawAspect="Content" ObjectID="_1747570603" r:id="rId48"/>
        </w:object>
      </w:r>
    </w:p>
    <w:p w14:paraId="279AD157" w14:textId="77777777" w:rsidR="00BA1A5C" w:rsidRPr="00B924B5" w:rsidRDefault="00BA1A5C" w:rsidP="00BA1A5C">
      <w:pPr>
        <w:spacing w:after="0" w:line="360" w:lineRule="auto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Рисунок 27.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Активность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ЭБР, рассчитанная как активность фермента в цельной крови минус его активность в плазме.</w:t>
      </w:r>
    </w:p>
    <w:p w14:paraId="279AD158" w14:textId="77777777" w:rsidR="00BA1A5C" w:rsidRPr="00B924B5" w:rsidRDefault="00BA1A5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59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Далее было рассчитано время полувыведения ЭБР с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аспарагиназой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 для каждого из пациентов. Расчет делан на основании того, что падение активности происходит экспоненциально. Таким образом: </w:t>
      </w:r>
    </w:p>
    <w:p w14:paraId="279AD15A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=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×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per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per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kt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(31).</w:t>
      </w:r>
    </w:p>
    <w:p w14:paraId="279AD15B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Тогда, обозначив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как А, имеем:</w:t>
      </w:r>
    </w:p>
    <w:p w14:paraId="279AD15C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Ln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=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ln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 -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k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×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(32).</w:t>
      </w:r>
    </w:p>
    <w:p w14:paraId="279AD15D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В момент времени 0:</w:t>
      </w:r>
    </w:p>
    <w:p w14:paraId="279AD15E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LnA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LnC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(33),</w:t>
      </w:r>
    </w:p>
    <w:p w14:paraId="279AD15F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 при падении активности в 2 раза:</w:t>
      </w:r>
    </w:p>
    <w:p w14:paraId="279AD160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Ln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(А/</w:t>
      </w:r>
      <w:proofErr w:type="gram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2)=</w:t>
      </w:r>
      <w:proofErr w:type="gram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Ln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k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×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1/2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(34).</w:t>
      </w:r>
    </w:p>
    <w:p w14:paraId="279AD161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Вычитая уравнение (34) из уравнения (33) получаем:</w:t>
      </w:r>
    </w:p>
    <w:p w14:paraId="279AD162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LnA-LnA+ln2=k×t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1/2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(35),</w:t>
      </w:r>
    </w:p>
    <w:p w14:paraId="279AD163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или:</w:t>
      </w:r>
    </w:p>
    <w:p w14:paraId="279AD164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b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1/2=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Ln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2/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k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=0.693/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k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(36).</w:t>
      </w:r>
    </w:p>
    <w:p w14:paraId="279AD165" w14:textId="77777777" w:rsidR="007A5C6C" w:rsidRPr="00B924B5" w:rsidRDefault="007A5C6C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Расчет времени полувыведения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эритроцитах из крови исследованных пациентов представлен на Рисунке 28.</w:t>
      </w:r>
    </w:p>
    <w:p w14:paraId="279AD166" w14:textId="77777777" w:rsidR="0027160A" w:rsidRPr="00B924B5" w:rsidRDefault="0027160A" w:rsidP="00553A28">
      <w:pPr>
        <w:spacing w:after="0" w:line="360" w:lineRule="auto"/>
        <w:ind w:firstLine="709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67" w14:textId="77777777" w:rsidR="00CD149B" w:rsidRPr="00B924B5" w:rsidRDefault="00CD149B" w:rsidP="00553A28">
      <w:pPr>
        <w:spacing w:after="0" w:line="360" w:lineRule="auto"/>
        <w:jc w:val="both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68" w14:textId="77777777" w:rsidR="00CD149B" w:rsidRPr="00B924B5" w:rsidRDefault="00CD149B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69" w14:textId="77777777" w:rsidR="00ED5EC0" w:rsidRPr="00B924B5" w:rsidRDefault="001A5224" w:rsidP="00553A28">
      <w:pPr>
        <w:spacing w:after="0" w:line="360" w:lineRule="auto"/>
        <w:ind w:firstLine="567"/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Theme="minorEastAsia"/>
          <w:noProof/>
          <w:lang w:eastAsia="ru-RU"/>
        </w:rPr>
        <w:lastRenderedPageBreak/>
        <w:object w:dxaOrig="1440" w:dyaOrig="1440" w14:anchorId="279AD1C3">
          <v:shape id="_x0000_s1040" type="#_x0000_t75" style="position:absolute;left:0;text-align:left;margin-left:0;margin-top:3.9pt;width:264.3pt;height:186.9pt;z-index:251679744;mso-position-horizontal-relative:text;mso-position-vertical-relative:text">
            <v:imagedata r:id="rId49" o:title=""/>
            <w10:wrap type="topAndBottom"/>
          </v:shape>
          <o:OLEObject Type="Embed" ProgID="Origin50.Graph" ShapeID="_x0000_s1040" DrawAspect="Content" ObjectID="_1747570604" r:id="rId50"/>
        </w:object>
      </w:r>
    </w:p>
    <w:p w14:paraId="279AD16A" w14:textId="77777777" w:rsidR="00CD149B" w:rsidRPr="00B924B5" w:rsidRDefault="00CD149B" w:rsidP="00553A28">
      <w:pPr>
        <w:spacing w:after="0" w:line="360" w:lineRule="auto"/>
        <w:ind w:firstLine="567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Рисунок 28.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Расчет времени полувыведения препарата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ЭБР из крови каждого из пациентов для медленной фазы выведения (после 24 ч).</w:t>
      </w:r>
    </w:p>
    <w:p w14:paraId="279AD16B" w14:textId="77777777" w:rsidR="00CD149B" w:rsidRPr="00B924B5" w:rsidRDefault="00CD149B" w:rsidP="00553A28">
      <w:pPr>
        <w:spacing w:after="0" w:line="360" w:lineRule="auto"/>
        <w:ind w:firstLine="567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6C" w14:textId="77777777" w:rsidR="00C237A1" w:rsidRPr="00B924B5" w:rsidRDefault="002A2B81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79AD1C4" wp14:editId="279AD1C5">
            <wp:simplePos x="0" y="0"/>
            <wp:positionH relativeFrom="margin">
              <wp:align>left</wp:align>
            </wp:positionH>
            <wp:positionV relativeFrom="page">
              <wp:posOffset>4529455</wp:posOffset>
            </wp:positionV>
            <wp:extent cx="5542915" cy="392366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7A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На Рисунке 29 представлена ф</w:t>
      </w:r>
      <w:r w:rsidR="00ED5EC0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армакокинетика </w:t>
      </w:r>
      <w:proofErr w:type="spellStart"/>
      <w:r w:rsidR="00ED5EC0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</w:t>
      </w:r>
      <w:r w:rsidR="00C237A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ы</w:t>
      </w:r>
      <w:proofErr w:type="spellEnd"/>
      <w:r w:rsidR="00ED5EC0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237A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 w:rsidR="00C237A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кидролазы</w:t>
      </w:r>
      <w:proofErr w:type="spellEnd"/>
      <w:r w:rsidR="00C237A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C237A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val="en-US"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Germany</w:t>
      </w:r>
      <w:r w:rsidR="00C237A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279AD16D" w14:textId="77777777" w:rsidR="002A2B81" w:rsidRPr="00B924B5" w:rsidRDefault="002A2B81" w:rsidP="00553A28">
      <w:pPr>
        <w:spacing w:after="0" w:line="360" w:lineRule="auto"/>
        <w:jc w:val="center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b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Рисунок 29. 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Фармакокинетика </w:t>
      </w:r>
      <w:proofErr w:type="spellStart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крови (а), а также уровень аспарагина в плазме детей (б) при еженедельном однократном внутримышечном введении в дозе по 10000 МЕ/м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per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79AD16E" w14:textId="77777777" w:rsidR="00C237A1" w:rsidRPr="00B924B5" w:rsidRDefault="00C237A1" w:rsidP="00553A28">
      <w:pPr>
        <w:spacing w:after="0" w:line="360" w:lineRule="auto"/>
        <w:ind w:firstLine="709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AD16F" w14:textId="77777777" w:rsidR="002A2B81" w:rsidRPr="00B924B5" w:rsidRDefault="00ED5EC0" w:rsidP="00553A28">
      <w:pPr>
        <w:spacing w:after="0" w:line="360" w:lineRule="auto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в крови </w:t>
      </w:r>
      <w:r w:rsidR="002A2B8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пациентов после ее введения в виде раствора (3-7 недель по 1 разу в неделю, внутримышечно) в дозе 10000 МЕ/м</w:t>
      </w:r>
      <w:r w:rsidR="002A2B8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vertAlign w:val="superscript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="002A2B8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Эта фармакокинетика принципиально отличалась от фармакокинетики </w:t>
      </w:r>
      <w:proofErr w:type="spellStart"/>
      <w:r w:rsidR="002A2B8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аспарагиназы</w:t>
      </w:r>
      <w:proofErr w:type="spellEnd"/>
      <w:r w:rsidR="002A2B81"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ЭБР. При введении в виде раствора активность фермента в крови практически полностью исчезала за 7 дней.  </w:t>
      </w:r>
    </w:p>
    <w:p w14:paraId="279AD170" w14:textId="77777777" w:rsidR="002A2B81" w:rsidRPr="00B924B5" w:rsidRDefault="002A2B81" w:rsidP="00553A28">
      <w:pPr>
        <w:spacing w:line="360" w:lineRule="auto"/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24B5">
        <w:rPr>
          <w:rFonts w:ascii="Times New Roman" w:eastAsia="Arial Unicode MS" w:hAnsi="Times New Roman" w:cs="Arial Unicode MS"/>
          <w:iCs/>
          <w:color w:val="000000"/>
          <w:sz w:val="24"/>
          <w:szCs w:val="24"/>
          <w:u w:color="0000FF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279AD171" w14:textId="77777777" w:rsidR="001857DC" w:rsidRPr="00B924B5" w:rsidRDefault="001857DC" w:rsidP="002148AB">
      <w:pPr>
        <w:pStyle w:val="1"/>
      </w:pPr>
      <w:bookmarkStart w:id="44" w:name="_Toc94790914"/>
      <w:r w:rsidRPr="00B924B5">
        <w:lastRenderedPageBreak/>
        <w:t>ЗАКЛЮЧЕНИЕ</w:t>
      </w:r>
      <w:bookmarkEnd w:id="44"/>
    </w:p>
    <w:p w14:paraId="279AD172" w14:textId="77777777" w:rsidR="001857DC" w:rsidRPr="00B924B5" w:rsidRDefault="001857DC" w:rsidP="00553A2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79AD173" w14:textId="77777777" w:rsidR="001857DC" w:rsidRPr="00B924B5" w:rsidRDefault="001857DC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работы были разработаны подходы к математическому моделированию эритроцитов-биореакторов и созданы математические модели ЭБР, убирающих из кровотока этанол (включающих ферменты алкогольдегидрогеназу 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ацетальдегиддегидрогеназу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а также модели различных типов биореакторов, которые, теоретически, могли бы удалять из кровотока аммония. Все модели представляли собой системы обыкновенных дифференциальных уравнений первого порядка, описывающие подробно реакции гликолиза в эритроците, а также реакции встроенных в эритроцит ферментов и транспорт проникающих через мембрану эритроцита метаболитов. </w:t>
      </w:r>
    </w:p>
    <w:p w14:paraId="279AD174" w14:textId="77777777" w:rsidR="001857DC" w:rsidRPr="00B924B5" w:rsidRDefault="001857DC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помощью данных моделей проанализированы факторы, влияющие на эффективность работы каждого из биореакторов. Показано, что факторы, лимитирующие эффективность работы ЭБР, бывают двух типов: 1) недостаточный транспорт в эритроцит нужных для реакции субстратов (что замедляет протекание реакции) или недостаточный транспорт из эритроцита образующихся при реакциях продуктов (что может приводить к осмотическому разрушению ЭБР); 2) влияние встроенных реакций на реакции гликолиза (если эти реакции используют один и тот же субстрат), которое может приводить к потере стационарного состояния в гликолизе. В качестве совместно используемых в гликолизе и встроенных реакциях метаболитов часто выступают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и/или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NADPH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Показано, что потеря стационарного состояния гликолиза является фактором, приводящим к гибели эритроцита-биореактора. Таким образом, чтобы успешно использовать предложенные биореакторы, необходимо соблюдать ограничения на активность ферментов встраиваемой системы. Сделанный вывод справедлив для всех встраиваемых ферментных систем, работающих с кофакторами NAD/NADH и /или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NADP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NADPH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Проведенный с помощью разработанных математических моделей анализ эффективности работы различных ранее предложенных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показал, что короткий интервал времени, в течение которого данные системы эффективно работают в эритроците, связан с низкой скоростью транспорта необходимых субстратов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AKG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GLU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в клетку. В результате была предложена новая ферментная система для включения в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которая позволила обойти данные ограничения. Эта система состоит из двух включенных ферментов,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ALT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при совместной работе которых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AKG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GLU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клетке постоянно расходуются и вновь синтезируются циклически. </w:t>
      </w:r>
    </w:p>
    <w:p w14:paraId="279AD175" w14:textId="77777777" w:rsidR="001857DC" w:rsidRPr="00B924B5" w:rsidRDefault="001857DC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ЭБР, содержащие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печени быка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ALT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сердца свиньи были впервые получены экспериментально. Было показано, что они способны работать более длительное время, чем ранее описанные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и способны убирать аммоний из системы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in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vitro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 также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in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vivo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модели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гипераммониемии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мышах. Несмотря на это, данные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могли быть использованы клинически, </w:t>
      </w:r>
      <w:proofErr w:type="gram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т.к</w:t>
      </w:r>
      <w:proofErr w:type="gram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эффективность включения в эритроциты основного перерабатывающего аммоний фермента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DGH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печени быка) была очень низка (около 2.2%). Таким образом, далее были предприняты попытки увеличить активность включенной в эритроциты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Для этого был выбран наиболее оптимальный способ гипоосмотического включения фермента в клетки путем сравнения выходов инкапсуляции фермента при применении таких способов, как обратимый гипоосмотический лизис, гипоосмотический диализ эритроцитов в мешках и гипоосмотический проточный диализ эритроцитов. Было показано, что проточный гипоосмотический диализ является наиболее оптимальным из них, не ухудшая свойства получаемых ЭБР. Однако, кроме способа инкапсуляции, на эффективность включения фермента влияют и его собственные свойства. Ранее для создания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аммоцитов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стандартно использовали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печени быка. Однако удельная активность этого фермента в его коммерческом препарате низка (примерно, 40 МЕ/мг белка), молекулы белка имеют большие размеры, и начинают агрегировать в растворе с образованием еще больших по размеру агрегатов при повышении концентрации белка в растворе выше 0.1 мг/мл. Чтобы преодолеть эти ограничения, в работе было предложено использовать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другого источника – бактериальную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Proteus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sp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Коммерческий препарат этого фермента имеет примерно в 10 раз более высокую удельную активность, примерно такой же молекулярный вес, что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печени быка, но, как было показано в данной работе, не агрегирует при повышении концентрации этого белка в растворе. В результате удалось получить более, чем в 20 раз более высокую удельную активность этой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эритроцитах (при его концентрации в суспензии при инкапсуляции 1.4 мг/мл), чем для стандартно используемой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печени быка.</w:t>
      </w:r>
    </w:p>
    <w:p w14:paraId="279AD176" w14:textId="77777777" w:rsidR="001857DC" w:rsidRPr="00B924B5" w:rsidRDefault="001857DC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содержащие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Proteus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sp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ALT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сердца свиньи были получены экспериментально. При этом было показано, что они способны удалять аммоний из среды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in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val="en-US" w:eastAsia="ru-RU"/>
        </w:rPr>
        <w:t>vitro</w:t>
      </w:r>
      <w:r w:rsidRPr="00B924B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Оба фермента, включенные в клетку работают совместно, т.к. количество переработанного аммония прямо пропорционально количеству образовавшегося продукта реакции аланина. Однако, при стационарной работе данного ЭБР аланин не способен накапливаться в клетке в высоких концентрациях, что определяется свойствами переносчиков, транспортирующих аланин. Скорость, с которой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данные ЭБР убирают аммоний из среды прямо пропорциональна активности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GD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 в клетках. Таким образом, впервые были получены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аммоциты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, которые могут быть перспективными для клинического применения.</w:t>
      </w:r>
    </w:p>
    <w:p w14:paraId="279AD177" w14:textId="77777777" w:rsidR="001857DC" w:rsidRPr="00B924B5" w:rsidRDefault="001857DC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Были изучены свойства данных ЭБР по сравнению со свойствами исходных нативных эритроцитов как сразу после их получения, так и в ходе 6 дней хранения 10% суспензий этих клеток при +4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о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Показано, что хотя свойства ЭБР немного отличаются от свойств нативных эритроцитов, эти изменения не превосходят тех, которые были опубликованы для других ЭБР ранее.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MCV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MCH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МСНС в ЭБР были немного снижены, осмотическая устойчивость ЭБР немного снижалась в области высоких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осмоляльностей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но даже увеличивалась в средах с более низкой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осмоляльностью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что также характерно для всех ранее опубликованных данных об осмотической устойчивости различных ЭБР. Активности включенных ферментов внутри эритроцитов за 6 дней хранения практически не изменились. Гемолиз клеток в суспензии ЭБР при хранении был незначительно увеличен, поэтому мы рекомендуем дополнительно отмывать клетки ЭБР перед переливанием пациенту, если они хранились в холодильнике белее суток. Кроме всех вышеназванных свойств в данной работе была впервые исследована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фильтруемость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исходных эритроцитов и ЭБР через искусственные фильтры с диаметром пор близким к диаметру эритроцитов. Этот показатель прямо связан со способностью эритроцитов деформироваться и проходить через узкие капилляры в организме, а, следовательно, с возможным сроком жизни клеток в кровотоке после переливания. Подобных измерений для ЭБР ранее никогда не проводили. Полученные результаты показали, что сразу после получения, ЭБР имеют более низкую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фильтруемость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сравнению с исходными эритроцитами, и увеличенную почти в 2 раза долю клеток, не способных пройти через фильтр. Однако уже после 2 часов инкубации ЭБР при комнатной температуре в среде, содержащей аденин,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Mg</w:t>
      </w:r>
      <w:r w:rsidRPr="00B924B5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+2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бычий сывороточный альбумин, способность клеток фильтроваться через поры фильтра практически восстанавливается, что говорит о том, что метаболизм ЭБР не нарушен.</w:t>
      </w:r>
    </w:p>
    <w:p w14:paraId="279AD178" w14:textId="77777777" w:rsidR="001857DC" w:rsidRPr="00B924B5" w:rsidRDefault="001857DC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Еще одним направлением данной работы была разработка автоматической установки для включения различных биологически активных соединений в эритроциты методом проточного гипоосмотического диализа. Такая установка, позволяющая стерильное включение препарата в клетки, была создана. Были подобраны оптимальные условия ее работы. С помощью данной установки был получен стерильный препарат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L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аспарагиназы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эритроцитах. Получены разрешения Экспертного Совета и Этического комитета на проведение ограниченных испытаний ЭБР, содержащих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аспарагиназу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для 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определения безопасности данного препарата. Параллельно была измерена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факмакокинетика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L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аспарагиназы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эритроцитах (по снижению активности фермента в цельной крови и плазме пациента, а также его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фармакодинамика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(по снижению уровня аспарагина в плазме). В испытания пока было включено только 2 пациента. Никаких побочных эффектов ни в одном из случаев не наблюдалось. Было показано, что данные ЭБР снижают концентрацию аспарагина в плазме, причем, тем дольше, чем выше суммарная доза включенного препарата фермента. Метод позволяет получить в клетках активность фермента, которая может обеспечить эффективность данных ЭБР при клиническом использовании. Время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полужизни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препарата в крови (</w:t>
      </w:r>
      <w:r w:rsidRPr="00B924B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t</w:t>
      </w:r>
      <w:r w:rsidRPr="00B924B5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1/2</w:t>
      </w: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для двух исследованных пациентов составляло 11.3 и 9.7 дней. Результаты хорошо совпадали </w:t>
      </w:r>
      <w:proofErr w:type="gram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с аналогичными данными</w:t>
      </w:r>
      <w:proofErr w:type="gram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опубликованными в литературе, что демонстрирует, что разработанные ЭБР с включенной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аспарагиназой</w:t>
      </w:r>
      <w:proofErr w:type="spellEnd"/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являются перспективными для клинического применения.</w:t>
      </w:r>
    </w:p>
    <w:p w14:paraId="279AD179" w14:textId="77777777" w:rsidR="001857DC" w:rsidRPr="00B924B5" w:rsidRDefault="001857DC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eastAsia="ru-RU"/>
        </w:rPr>
        <w:t>Таким образом, все задачи настоящего проекта были полностью выполнены. Все полученные данные являются полностью оригинальными, и большинство из них не имеет аналогов в мире.</w:t>
      </w:r>
    </w:p>
    <w:p w14:paraId="279AD17A" w14:textId="77777777" w:rsidR="001857DC" w:rsidRPr="00B924B5" w:rsidRDefault="001857DC" w:rsidP="00553A2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79AD17B" w14:textId="77777777" w:rsidR="001857DC" w:rsidRPr="00B924B5" w:rsidRDefault="001857DC" w:rsidP="00553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24B5">
        <w:rPr>
          <w:rFonts w:ascii="Times New Roman" w:hAnsi="Times New Roman" w:cs="Times New Roman"/>
          <w:sz w:val="24"/>
          <w:szCs w:val="24"/>
        </w:rPr>
        <w:br w:type="page"/>
      </w:r>
    </w:p>
    <w:p w14:paraId="279AD17C" w14:textId="77777777" w:rsidR="001857DC" w:rsidRPr="002148AB" w:rsidRDefault="001857DC" w:rsidP="002148AB">
      <w:pPr>
        <w:pStyle w:val="1"/>
        <w:rPr>
          <w:caps/>
        </w:rPr>
      </w:pPr>
      <w:bookmarkStart w:id="45" w:name="_Toc27666634"/>
      <w:bookmarkStart w:id="46" w:name="_Toc30081599"/>
      <w:bookmarkStart w:id="47" w:name="_Toc30083084"/>
      <w:bookmarkStart w:id="48" w:name="_Toc30515999"/>
      <w:bookmarkStart w:id="49" w:name="_Toc94790915"/>
      <w:r w:rsidRPr="002148AB">
        <w:rPr>
          <w:caps/>
        </w:rPr>
        <w:lastRenderedPageBreak/>
        <w:t>Список использованных источников</w:t>
      </w:r>
      <w:bookmarkEnd w:id="45"/>
      <w:bookmarkEnd w:id="46"/>
      <w:bookmarkEnd w:id="47"/>
      <w:bookmarkEnd w:id="48"/>
      <w:bookmarkEnd w:id="49"/>
    </w:p>
    <w:p w14:paraId="279AD17D" w14:textId="77777777" w:rsidR="001857DC" w:rsidRPr="00B924B5" w:rsidRDefault="001857DC" w:rsidP="00553A28">
      <w:pPr>
        <w:keepNext/>
        <w:keepLines/>
        <w:spacing w:after="0" w:line="360" w:lineRule="auto"/>
        <w:ind w:left="709" w:firstLine="709"/>
        <w:contextualSpacing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279AD17E" w14:textId="77777777" w:rsidR="001857DC" w:rsidRPr="00B924B5" w:rsidRDefault="001857DC" w:rsidP="00553A28">
      <w:pPr>
        <w:numPr>
          <w:ilvl w:val="0"/>
          <w:numId w:val="2"/>
        </w:numPr>
        <w:tabs>
          <w:tab w:val="left" w:pos="1418"/>
        </w:tabs>
        <w:spacing w:before="120" w:after="0" w:line="36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proofErr w:type="spellStart"/>
      <w:r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>Martinov</w:t>
      </w:r>
      <w:proofErr w:type="spellEnd"/>
      <w:r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M.V.</w:t>
      </w:r>
      <w:r w:rsidR="0028636F"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Plotnikov A.G., </w:t>
      </w:r>
      <w:proofErr w:type="spellStart"/>
      <w:r w:rsidR="0028636F"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>Vitvitsky</w:t>
      </w:r>
      <w:proofErr w:type="spellEnd"/>
      <w:r w:rsidR="0028636F"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V.M., </w:t>
      </w:r>
      <w:proofErr w:type="spellStart"/>
      <w:r w:rsidR="0028636F"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>Ataullakhanov</w:t>
      </w:r>
      <w:proofErr w:type="spellEnd"/>
      <w:r w:rsidR="0028636F"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F.I.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Deficiencies of glycolytic enzymes as a possible cause of hemolytic anemia. //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Biochim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Biophys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Acta - Gen. Subj. </w:t>
      </w:r>
      <w:r w:rsidR="0028636F"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2000. </w:t>
      </w:r>
      <w:r w:rsidR="0028636F" w:rsidRPr="002863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Vol. 1474</w:t>
      </w:r>
      <w:r w:rsidR="0028636F">
        <w:rPr>
          <w:rFonts w:ascii="Times New Roman" w:eastAsia="Times New Roman" w:hAnsi="Times New Roman" w:cs="Times New Roman"/>
          <w:sz w:val="24"/>
          <w:szCs w:val="24"/>
          <w:lang w:val="en-US"/>
        </w:rPr>
        <w:t>, N 1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2863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P.75–87.</w:t>
      </w:r>
    </w:p>
    <w:p w14:paraId="279AD17F" w14:textId="77777777" w:rsidR="001857DC" w:rsidRPr="00B924B5" w:rsidRDefault="0028636F" w:rsidP="00553A28">
      <w:pPr>
        <w:numPr>
          <w:ilvl w:val="0"/>
          <w:numId w:val="2"/>
        </w:numPr>
        <w:tabs>
          <w:tab w:val="left" w:pos="1418"/>
        </w:tabs>
        <w:spacing w:before="120"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544119">
        <w:rPr>
          <w:rFonts w:ascii="Times New Roman" w:eastAsia="MS Mincho" w:hAnsi="Times New Roman" w:cs="Times New Roman"/>
          <w:bCs/>
          <w:sz w:val="24"/>
          <w:szCs w:val="24"/>
          <w:lang w:val="en-US"/>
        </w:rPr>
        <w:t>Alexandrovich</w:t>
      </w:r>
      <w:proofErr w:type="spellEnd"/>
      <w:r w:rsidRPr="00544119">
        <w:rPr>
          <w:rFonts w:ascii="Times New Roman" w:eastAsia="MS Mincho" w:hAnsi="Times New Roman" w:cs="Times New Roman"/>
          <w:bCs/>
          <w:sz w:val="24"/>
          <w:szCs w:val="24"/>
          <w:lang w:val="en-US"/>
        </w:rPr>
        <w:t xml:space="preserve"> Y.G.</w:t>
      </w:r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Kosenko</w:t>
      </w:r>
      <w:proofErr w:type="spellEnd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E.A., </w:t>
      </w:r>
      <w:proofErr w:type="spellStart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Sinauridze</w:t>
      </w:r>
      <w:proofErr w:type="spellEnd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E.I., </w:t>
      </w:r>
      <w:proofErr w:type="spellStart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Obydennyi</w:t>
      </w:r>
      <w:proofErr w:type="spellEnd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S.I,.</w:t>
      </w:r>
      <w:proofErr w:type="gramEnd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Kireev</w:t>
      </w:r>
      <w:proofErr w:type="spellEnd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I.I., </w:t>
      </w:r>
      <w:proofErr w:type="spellStart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Ataullakhanov</w:t>
      </w:r>
      <w:proofErr w:type="spellEnd"/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F.I</w:t>
      </w:r>
      <w:r w:rsidR="00544119"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.</w:t>
      </w:r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, Kaminsky Y</w:t>
      </w:r>
      <w:r w:rsidR="00544119"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.</w:t>
      </w:r>
      <w:r w:rsidRPr="00544119">
        <w:rPr>
          <w:rFonts w:ascii="Times New Roman" w:eastAsia="MS Mincho" w:hAnsi="Times New Roman" w:cs="Times New Roman"/>
          <w:sz w:val="24"/>
          <w:szCs w:val="24"/>
          <w:lang w:val="en-US"/>
        </w:rPr>
        <w:t>G.</w:t>
      </w:r>
      <w:r w:rsid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</w:t>
      </w:r>
      <w:r w:rsidR="001857DC" w:rsidRPr="00B924B5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Rapid elimination of blood alcohol using erythrocytes: mathematical modeling and in vitro study. 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// </w:t>
      </w:r>
      <w:r w:rsidR="001857DC" w:rsidRPr="00B924B5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BioMed Res Int. </w:t>
      </w:r>
      <w:r w:rsid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- </w:t>
      </w:r>
      <w:r w:rsidR="001857DC" w:rsidRPr="00B924B5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2017. </w:t>
      </w:r>
      <w:r w:rsidR="00544119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– Vol. </w:t>
      </w:r>
      <w:r w:rsidR="0047171B" w:rsidRPr="0028636F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2017, </w:t>
      </w:r>
      <w:r w:rsidR="0047171B">
        <w:rPr>
          <w:rFonts w:ascii="Times New Roman" w:eastAsia="MS Mincho" w:hAnsi="Times New Roman" w:cs="Times New Roman"/>
          <w:sz w:val="24"/>
          <w:szCs w:val="24"/>
          <w:lang w:val="en-US"/>
        </w:rPr>
        <w:t>No</w:t>
      </w:r>
      <w:r w:rsidR="001857DC" w:rsidRPr="00B924B5">
        <w:rPr>
          <w:rFonts w:ascii="Times New Roman" w:eastAsia="MS Mincho" w:hAnsi="Times New Roman" w:cs="Times New Roman"/>
          <w:sz w:val="24"/>
          <w:szCs w:val="24"/>
          <w:lang w:val="en-US"/>
        </w:rPr>
        <w:t>. 5849593</w:t>
      </w:r>
      <w:r w:rsidR="003E2AE0" w:rsidRPr="00B924B5">
        <w:rPr>
          <w:rFonts w:ascii="Times New Roman" w:eastAsia="MS Mincho" w:hAnsi="Times New Roman" w:cs="Times New Roman"/>
          <w:sz w:val="24"/>
          <w:szCs w:val="24"/>
          <w:lang w:val="en-US"/>
        </w:rPr>
        <w:t>.</w:t>
      </w:r>
    </w:p>
    <w:p w14:paraId="279AD180" w14:textId="77777777" w:rsidR="001857DC" w:rsidRPr="00B924B5" w:rsidRDefault="003B0CAC" w:rsidP="00553A28">
      <w:pPr>
        <w:numPr>
          <w:ilvl w:val="0"/>
          <w:numId w:val="2"/>
        </w:numPr>
        <w:tabs>
          <w:tab w:val="left" w:pos="1418"/>
        </w:tabs>
        <w:spacing w:before="120"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B0CAC">
        <w:rPr>
          <w:rFonts w:ascii="Times New Roman" w:eastAsia="Times New Roman" w:hAnsi="Times New Roman" w:cs="Times New Roman"/>
          <w:sz w:val="24"/>
          <w:szCs w:val="24"/>
          <w:lang w:val="en-US"/>
        </w:rPr>
        <w:t>Gerner</w:t>
      </w:r>
      <w:proofErr w:type="spellEnd"/>
      <w:r w:rsidR="001A5224">
        <w:fldChar w:fldCharType="begin"/>
      </w:r>
      <w:r w:rsidR="001A5224" w:rsidRPr="00497A1C">
        <w:rPr>
          <w:lang w:val="en-US"/>
        </w:rPr>
        <w:instrText xml:space="preserve"> HYPERLINK "https://febs.onlinelibrary.wiley.com/action/doSearch?ContribAuthorRaw=Gerber%2C+Gerhard" </w:instrText>
      </w:r>
      <w:r w:rsidR="001A5224">
        <w:fldChar w:fldCharType="separate"/>
      </w:r>
      <w:r w:rsidR="001A5224">
        <w:fldChar w:fldCharType="end"/>
      </w:r>
      <w:r w:rsidRPr="003B0C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3B0CAC">
        <w:rPr>
          <w:rFonts w:ascii="Times New Roman" w:eastAsia="Times New Roman" w:hAnsi="Times New Roman" w:cs="Times New Roman"/>
          <w:sz w:val="24"/>
          <w:szCs w:val="24"/>
          <w:lang w:val="en-US"/>
        </w:rPr>
        <w:t>Peeissler</w:t>
      </w:r>
      <w:proofErr w:type="spellEnd"/>
      <w:r w:rsidRPr="003B0C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H., Heinrich 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Rapoport S.M. 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Hexokinase of human erythrocytes: purification, kinetic model and its application to the conditions in the cell. // Eur. J. </w:t>
      </w:r>
      <w:proofErr w:type="spellStart"/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Biochem</w:t>
      </w:r>
      <w:proofErr w:type="spellEnd"/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1974. </w:t>
      </w:r>
      <w:r w:rsidR="005441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Vol. 45</w:t>
      </w:r>
      <w:r w:rsidR="005441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N. 1. - 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P.39–52</w:t>
      </w:r>
      <w:r w:rsidR="0047171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79AD181" w14:textId="77777777" w:rsidR="001857DC" w:rsidRPr="00B924B5" w:rsidRDefault="00C7651E" w:rsidP="00553A28">
      <w:pPr>
        <w:numPr>
          <w:ilvl w:val="0"/>
          <w:numId w:val="2"/>
        </w:numPr>
        <w:tabs>
          <w:tab w:val="left" w:pos="1418"/>
        </w:tabs>
        <w:spacing w:before="120"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C7651E">
        <w:rPr>
          <w:rFonts w:ascii="Times New Roman" w:eastAsia="Times New Roman" w:hAnsi="Times New Roman" w:cs="Times New Roman"/>
          <w:sz w:val="24"/>
          <w:szCs w:val="24"/>
          <w:lang w:val="en-US"/>
        </w:rPr>
        <w:t>Whillier</w:t>
      </w:r>
      <w:proofErr w:type="spellEnd"/>
      <w:r w:rsidRPr="00C765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S., Garcia B., Chapman B.E., </w:t>
      </w:r>
      <w:proofErr w:type="spellStart"/>
      <w:r w:rsidRPr="00C7651E">
        <w:rPr>
          <w:rFonts w:ascii="Times New Roman" w:eastAsia="Times New Roman" w:hAnsi="Times New Roman" w:cs="Times New Roman"/>
          <w:sz w:val="24"/>
          <w:szCs w:val="24"/>
          <w:lang w:val="en-US"/>
        </w:rPr>
        <w:t>Kuchel</w:t>
      </w:r>
      <w:proofErr w:type="spellEnd"/>
      <w:r w:rsidRPr="00C765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P.W., </w:t>
      </w:r>
      <w:proofErr w:type="spellStart"/>
      <w:r w:rsidRPr="00C7651E">
        <w:rPr>
          <w:rFonts w:ascii="Times New Roman" w:eastAsia="Times New Roman" w:hAnsi="Times New Roman" w:cs="Times New Roman"/>
          <w:sz w:val="24"/>
          <w:szCs w:val="24"/>
          <w:lang w:val="en-US"/>
        </w:rPr>
        <w:t>Raftos</w:t>
      </w:r>
      <w:proofErr w:type="spellEnd"/>
      <w:r w:rsidRPr="00C765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J.E.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Glutamine and α-ketoglutarate as glutamate sources for glutathione synthesis in human erythrocytes. // FEBS J.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2011.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Vol. 278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N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17, - P.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3152–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31</w:t>
      </w:r>
      <w:r w:rsidR="001857DC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63</w:t>
      </w:r>
      <w:r w:rsidR="0047171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79AD182" w14:textId="77777777" w:rsidR="001857DC" w:rsidRPr="00B924B5" w:rsidRDefault="001857DC" w:rsidP="00553A28">
      <w:pPr>
        <w:numPr>
          <w:ilvl w:val="0"/>
          <w:numId w:val="2"/>
        </w:numPr>
        <w:tabs>
          <w:tab w:val="left" w:pos="1418"/>
        </w:tabs>
        <w:spacing w:before="120"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Halestrap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A.P. Transport of pyruvate and lactate into human erythrocytes. Evidence for the involvement of the chloride carrier and a chloride-independent carrier. //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Biochem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J. </w:t>
      </w:r>
      <w:r w:rsidR="00C765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197</w:t>
      </w:r>
      <w:r w:rsidR="00F03355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C765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Vol. 156</w:t>
      </w:r>
      <w:r w:rsidR="00C7651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N. </w:t>
      </w:r>
      <w:r w:rsidR="00F03355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F03355">
        <w:rPr>
          <w:rFonts w:ascii="Times New Roman" w:eastAsia="Times New Roman" w:hAnsi="Times New Roman" w:cs="Times New Roman"/>
          <w:sz w:val="24"/>
          <w:szCs w:val="24"/>
          <w:lang w:val="en-US"/>
        </w:rPr>
        <w:t>- P.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193–207</w:t>
      </w:r>
      <w:r w:rsidR="003E2AE0"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79AD183" w14:textId="77777777" w:rsidR="001857DC" w:rsidRPr="00B924B5" w:rsidRDefault="001857DC" w:rsidP="00553A28">
      <w:pPr>
        <w:numPr>
          <w:ilvl w:val="0"/>
          <w:numId w:val="2"/>
        </w:numPr>
        <w:tabs>
          <w:tab w:val="left" w:pos="1418"/>
        </w:tabs>
        <w:spacing w:before="120"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Naccache</w:t>
      </w:r>
      <w:proofErr w:type="spellEnd"/>
      <w:r w:rsidR="003E2AE0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</w:t>
      </w:r>
      <w:r w:rsidR="003E2AE0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.,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Sha'afi</w:t>
      </w:r>
      <w:proofErr w:type="spellEnd"/>
      <w:r w:rsidR="003E2AE0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</w:t>
      </w:r>
      <w:r w:rsidR="003E2AE0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I. Patterns of nonelectrolyte permeability in human red blood cell membrane.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//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 Gen Physiol.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1973.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Vol. 62,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6.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P.714-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>7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36.</w:t>
      </w:r>
    </w:p>
    <w:p w14:paraId="279AD184" w14:textId="77777777" w:rsidR="001857DC" w:rsidRPr="00B924B5" w:rsidRDefault="001857DC" w:rsidP="00553A28">
      <w:pPr>
        <w:tabs>
          <w:tab w:val="left" w:pos="1418"/>
        </w:tabs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7.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Ren S.</w:t>
      </w:r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Das A., Lien E.J.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QSAR analysis of membrane permeability to organic compounds.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//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 Drug Target.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1996.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Vol. 4,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2.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P.103-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7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279AD185" w14:textId="77777777" w:rsidR="001857DC" w:rsidRPr="00B924B5" w:rsidRDefault="001857DC" w:rsidP="00553A28">
      <w:pPr>
        <w:tabs>
          <w:tab w:val="left" w:pos="1418"/>
        </w:tabs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8.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Protasov</w:t>
      </w:r>
      <w:proofErr w:type="spellEnd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E.S., </w:t>
      </w:r>
      <w:proofErr w:type="spellStart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Borsakova</w:t>
      </w:r>
      <w:proofErr w:type="spellEnd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D.V., </w:t>
      </w:r>
      <w:proofErr w:type="spellStart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Alexandrovich</w:t>
      </w:r>
      <w:proofErr w:type="spellEnd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Y.G., </w:t>
      </w:r>
      <w:proofErr w:type="spellStart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Korotkov</w:t>
      </w:r>
      <w:proofErr w:type="spellEnd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A.V., </w:t>
      </w:r>
      <w:proofErr w:type="spellStart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Kosenko</w:t>
      </w:r>
      <w:proofErr w:type="spellEnd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E.A., </w:t>
      </w:r>
      <w:proofErr w:type="spellStart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Ataullakhanov</w:t>
      </w:r>
      <w:proofErr w:type="spellEnd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F.I., </w:t>
      </w:r>
      <w:proofErr w:type="spellStart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>Sinauridze</w:t>
      </w:r>
      <w:proofErr w:type="spellEnd"/>
      <w:r w:rsidR="00F03355" w:rsidRP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E.I.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Erythrocytes as bioreactors to decrease excess ammonium concentration in blood. 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//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Sci Reports.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2019.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Vol. 9</w:t>
      </w:r>
      <w:r w:rsidR="0047171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="0047171B">
        <w:rPr>
          <w:rFonts w:ascii="Times New Roman" w:eastAsia="Calibri" w:hAnsi="Times New Roman" w:cs="Times New Roman"/>
          <w:sz w:val="24"/>
          <w:szCs w:val="24"/>
          <w:lang w:val="en-US"/>
        </w:rPr>
        <w:t>No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. 1455</w:t>
      </w:r>
      <w:r w:rsidR="0047171B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279AD186" w14:textId="77777777" w:rsidR="001857DC" w:rsidRPr="00B924B5" w:rsidRDefault="001857DC" w:rsidP="00553A28">
      <w:pPr>
        <w:tabs>
          <w:tab w:val="left" w:pos="1418"/>
        </w:tabs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9.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B924B5">
        <w:rPr>
          <w:rFonts w:ascii="Times New Roman" w:eastAsia="Calibri" w:hAnsi="Times New Roman" w:cs="Times New Roman"/>
          <w:sz w:val="24"/>
          <w:szCs w:val="24"/>
          <w:lang w:val="fr-FR"/>
        </w:rPr>
        <w:t>Auron A., Brophy</w:t>
      </w:r>
      <w:r w:rsidR="00F0335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P.</w:t>
      </w:r>
      <w:r w:rsidRPr="00B924B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D. 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Hyperammonemia in review: pathophysiology, diagnosis, and treatment. </w:t>
      </w:r>
      <w:r w:rsidR="0047171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// </w:t>
      </w:r>
      <w:proofErr w:type="spellStart"/>
      <w:r w:rsidR="0047171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P</w:t>
      </w:r>
      <w:r w:rsidRPr="0047171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ediatr</w:t>
      </w:r>
      <w:proofErr w:type="spellEnd"/>
      <w:r w:rsidRPr="0047171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. Nephrol. </w:t>
      </w:r>
      <w:r w:rsidR="00F0335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- </w:t>
      </w:r>
      <w:r w:rsidR="0047171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2012. </w:t>
      </w:r>
      <w:r w:rsidR="00F0335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- </w:t>
      </w:r>
      <w:r w:rsidR="0047171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Vol. </w:t>
      </w:r>
      <w:r w:rsidRPr="0047171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27</w:t>
      </w:r>
      <w:r w:rsidRPr="0047171B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033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N. </w:t>
      </w:r>
      <w:r w:rsidR="001A3088">
        <w:rPr>
          <w:rFonts w:ascii="Times New Roman" w:eastAsia="Calibri" w:hAnsi="Times New Roman" w:cs="Times New Roman"/>
          <w:sz w:val="24"/>
          <w:szCs w:val="24"/>
          <w:lang w:val="en-US"/>
        </w:rPr>
        <w:t>2. - P.2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07–222.</w:t>
      </w:r>
    </w:p>
    <w:p w14:paraId="279AD187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contextualSpacing/>
        <w:rPr>
          <w:rFonts w:ascii="Times New Roman" w:eastAsia="Newton-Regular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10.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  <w:t xml:space="preserve">Sanz S., Pinilla M.,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Garin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M., Tipton K.F.,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Luque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J. The influence of enzyme concentration on the encapsulation of glutamate dehydrogenase and alcohol dehydrogenase in red blood cells. </w:t>
      </w:r>
      <w:r w:rsid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// </w:t>
      </w:r>
      <w:proofErr w:type="spellStart"/>
      <w:r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>Biotechnol</w:t>
      </w:r>
      <w:proofErr w:type="spellEnd"/>
      <w:r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 xml:space="preserve">. Appl. </w:t>
      </w:r>
      <w:proofErr w:type="spellStart"/>
      <w:r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>Biochem</w:t>
      </w:r>
      <w:proofErr w:type="spellEnd"/>
      <w:r w:rsidRPr="00B924B5">
        <w:rPr>
          <w:rFonts w:ascii="Times New Roman" w:eastAsia="Newton-Regular" w:hAnsi="Times New Roman" w:cs="Times New Roman"/>
          <w:i/>
          <w:iCs/>
          <w:sz w:val="24"/>
          <w:szCs w:val="24"/>
          <w:lang w:val="en-US" w:eastAsia="ru-RU"/>
        </w:rPr>
        <w:t xml:space="preserve">. </w:t>
      </w:r>
      <w:r w:rsidR="001A3088">
        <w:rPr>
          <w:rFonts w:ascii="Times New Roman" w:eastAsia="Newton-Regular" w:hAnsi="Times New Roman" w:cs="Times New Roman"/>
          <w:i/>
          <w:iCs/>
          <w:sz w:val="24"/>
          <w:szCs w:val="24"/>
          <w:lang w:val="en-US" w:eastAsia="ru-RU"/>
        </w:rPr>
        <w:t xml:space="preserve">- </w:t>
      </w:r>
      <w:r w:rsidR="0047171B"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>1995.</w:t>
      </w:r>
      <w:r w:rsidR="0047171B">
        <w:rPr>
          <w:rFonts w:ascii="Times New Roman" w:eastAsia="Newton-Regular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="001A3088">
        <w:rPr>
          <w:rFonts w:ascii="Times New Roman" w:eastAsia="Newton-Regular" w:hAnsi="Times New Roman" w:cs="Times New Roman"/>
          <w:i/>
          <w:iCs/>
          <w:sz w:val="24"/>
          <w:szCs w:val="24"/>
          <w:lang w:val="en-US" w:eastAsia="ru-RU"/>
        </w:rPr>
        <w:t xml:space="preserve">- </w:t>
      </w:r>
      <w:r w:rsid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 xml:space="preserve">Vol. </w:t>
      </w:r>
      <w:r w:rsidRPr="0047171B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>22</w:t>
      </w:r>
      <w:r w:rsidRP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,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</w:t>
      </w:r>
      <w:r w:rsidR="001A3088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N. 2. - P.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223–231.</w:t>
      </w:r>
    </w:p>
    <w:p w14:paraId="279AD188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contextualSpacing/>
        <w:rPr>
          <w:rFonts w:ascii="Times New Roman" w:eastAsia="Newton-Regular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11.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</w:r>
      <w:r w:rsidRPr="00B924B5">
        <w:rPr>
          <w:rFonts w:ascii="Times New Roman" w:eastAsia="Newton-Regular" w:hAnsi="Times New Roman" w:cs="Times New Roman"/>
          <w:sz w:val="24"/>
          <w:szCs w:val="24"/>
          <w:lang w:val="it-IT" w:eastAsia="ru-RU"/>
        </w:rPr>
        <w:t>Sanz S., Lizano C., Garin M.I., Luque</w:t>
      </w:r>
      <w:r w:rsidR="001A3088">
        <w:rPr>
          <w:rFonts w:ascii="Times New Roman" w:eastAsia="Newton-Regular" w:hAnsi="Times New Roman" w:cs="Times New Roman"/>
          <w:sz w:val="24"/>
          <w:szCs w:val="24"/>
          <w:lang w:val="it-IT" w:eastAsia="ru-RU"/>
        </w:rPr>
        <w:t xml:space="preserve"> J., Pinilla </w:t>
      </w:r>
      <w:r w:rsidRPr="00B924B5">
        <w:rPr>
          <w:rFonts w:ascii="Times New Roman" w:eastAsia="Newton-Regular" w:hAnsi="Times New Roman" w:cs="Times New Roman"/>
          <w:sz w:val="24"/>
          <w:szCs w:val="24"/>
          <w:lang w:val="it-IT" w:eastAsia="ru-RU"/>
        </w:rPr>
        <w:t xml:space="preserve">M. 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Biochemical properties of alcohol dehydrogenase and glutamate dehydrogenase encapsulated into human erythrocytes by a hypotonic-dialysis procedure. </w:t>
      </w:r>
      <w:r w:rsid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// I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n: </w:t>
      </w:r>
      <w:r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>Erythrocytes as drug carriers in medicine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. (eds.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Sprandel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, U., Way, J. L.), </w:t>
      </w:r>
      <w:r w:rsidR="001A3088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- </w:t>
      </w:r>
      <w:r w:rsid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1997.</w:t>
      </w:r>
      <w:r w:rsidR="001A3088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- </w:t>
      </w:r>
      <w:r w:rsid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P</w:t>
      </w:r>
      <w:r w:rsidR="001A3088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101–108 (Springer Science +</w:t>
      </w:r>
      <w:r w:rsid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Business Media: New York, USA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). </w:t>
      </w:r>
    </w:p>
    <w:p w14:paraId="279AD189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contextualSpacing/>
        <w:rPr>
          <w:rFonts w:ascii="Times New Roman" w:eastAsia="Newton-Regular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lastRenderedPageBreak/>
        <w:t>12.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  <w:t xml:space="preserve">Sanz S.,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Lizano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C., </w:t>
      </w:r>
      <w:proofErr w:type="spellStart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Luque</w:t>
      </w:r>
      <w:proofErr w:type="spellEnd"/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J., Pinilla M. </w:t>
      </w:r>
      <w:r w:rsidRPr="00B924B5">
        <w:rPr>
          <w:rFonts w:ascii="Times New Roman" w:eastAsia="Newton-Regular" w:hAnsi="Times New Roman" w:cs="Times New Roman"/>
          <w:i/>
          <w:sz w:val="24"/>
          <w:szCs w:val="24"/>
          <w:lang w:val="en-US" w:eastAsia="ru-RU"/>
        </w:rPr>
        <w:t>In vitro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and in vivo study of glutamate dehydrogenase encapsulated into mouse erythrocytes by a hypotonic dialysis procedure. </w:t>
      </w:r>
      <w:r w:rsid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// </w:t>
      </w:r>
      <w:r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 xml:space="preserve">Life Sci. </w:t>
      </w:r>
      <w:r w:rsidR="001A3088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 xml:space="preserve">- </w:t>
      </w:r>
      <w:r w:rsidR="0047171B" w:rsidRPr="0047171B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1999. </w:t>
      </w:r>
      <w:r w:rsidR="001A3088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- </w:t>
      </w:r>
      <w:r w:rsidR="0047171B" w:rsidRPr="0047171B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Vol. </w:t>
      </w:r>
      <w:r w:rsidRPr="0047171B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>65</w:t>
      </w:r>
      <w:r w:rsidRP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,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</w:t>
      </w:r>
      <w:r w:rsidR="001A3088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N. </w:t>
      </w:r>
      <w:r w:rsid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26. - P.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2781–2789. </w:t>
      </w:r>
    </w:p>
    <w:p w14:paraId="279AD18A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contextualSpacing/>
        <w:rPr>
          <w:rFonts w:ascii="Times New Roman" w:eastAsia="Newton-Regular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13.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</w:r>
      <w:proofErr w:type="spellStart"/>
      <w:r w:rsidR="00A81273" w:rsidRPr="00A81273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>Kosenko</w:t>
      </w:r>
      <w:proofErr w:type="spellEnd"/>
      <w:r w:rsidR="00A81273" w:rsidRPr="00A81273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 E.A.</w:t>
      </w:r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Venediktova</w:t>
      </w:r>
      <w:proofErr w:type="spellEnd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N.I., </w:t>
      </w:r>
      <w:proofErr w:type="spellStart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Kudryavtsev</w:t>
      </w:r>
      <w:proofErr w:type="spellEnd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A.A., </w:t>
      </w:r>
      <w:proofErr w:type="spellStart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Ataullakhanov</w:t>
      </w:r>
      <w:proofErr w:type="spellEnd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F.I., Kaminsky Y.G., </w:t>
      </w:r>
      <w:proofErr w:type="spellStart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Felipo</w:t>
      </w:r>
      <w:proofErr w:type="spellEnd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V., </w:t>
      </w:r>
      <w:proofErr w:type="spellStart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Montoliu</w:t>
      </w:r>
      <w:proofErr w:type="spellEnd"/>
      <w:r w:rsidR="00A81273" w:rsidRP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C.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Encapsulation of glutamine synthetase in mouse erythrocytes: A new procedure for ammonia detoxification. </w:t>
      </w:r>
      <w:r w:rsid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// </w:t>
      </w:r>
      <w:proofErr w:type="spellStart"/>
      <w:r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>Biochem</w:t>
      </w:r>
      <w:proofErr w:type="spellEnd"/>
      <w:r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>. Cell Biol.</w:t>
      </w:r>
      <w:r w:rsidRPr="00B924B5">
        <w:rPr>
          <w:rFonts w:ascii="Times New Roman" w:eastAsia="Newton-Regular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="00A81273">
        <w:rPr>
          <w:rFonts w:ascii="Times New Roman" w:eastAsia="Newton-Regular" w:hAnsi="Times New Roman" w:cs="Times New Roman"/>
          <w:i/>
          <w:iCs/>
          <w:sz w:val="24"/>
          <w:szCs w:val="24"/>
          <w:lang w:val="en-US" w:eastAsia="ru-RU"/>
        </w:rPr>
        <w:t xml:space="preserve">- </w:t>
      </w:r>
      <w:r w:rsidR="0047171B" w:rsidRPr="0047171B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2008. </w:t>
      </w:r>
      <w:r w:rsidR="00A81273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- </w:t>
      </w:r>
      <w:r w:rsidR="0047171B" w:rsidRPr="0047171B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Vol. </w:t>
      </w:r>
      <w:r w:rsidRPr="0047171B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>86</w:t>
      </w:r>
      <w:r w:rsidRP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,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</w:t>
      </w:r>
      <w:r w:rsidR="00A81273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N. 6. - P.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469–476.</w:t>
      </w:r>
    </w:p>
    <w:p w14:paraId="279AD18B" w14:textId="77777777" w:rsidR="001857DC" w:rsidRPr="00B924B5" w:rsidRDefault="00A81273" w:rsidP="00553A28">
      <w:pPr>
        <w:tabs>
          <w:tab w:val="left" w:pos="1418"/>
        </w:tabs>
        <w:spacing w:after="0" w:line="360" w:lineRule="auto"/>
        <w:ind w:firstLine="709"/>
        <w:contextualSpacing/>
        <w:rPr>
          <w:rFonts w:ascii="Times New Roman" w:eastAsia="Newton-Regular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14.</w:t>
      </w:r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</w:r>
      <w:proofErr w:type="spellStart"/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Venediktova</w:t>
      </w:r>
      <w:proofErr w:type="spellEnd"/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N.I., </w:t>
      </w:r>
      <w:proofErr w:type="spellStart"/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Kosenko</w:t>
      </w:r>
      <w:proofErr w:type="spellEnd"/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E.A., Kaminsky Y.</w:t>
      </w:r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G. Studies on </w:t>
      </w:r>
      <w:proofErr w:type="spellStart"/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ammocy</w:t>
      </w:r>
      <w:r w:rsidR="007B367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tes</w:t>
      </w:r>
      <w:proofErr w:type="spellEnd"/>
      <w:r w:rsidR="007B367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: development, metabolic </w:t>
      </w:r>
      <w:proofErr w:type="spellStart"/>
      <w:r w:rsidR="007B367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cha</w:t>
      </w:r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acteristics</w:t>
      </w:r>
      <w:proofErr w:type="spellEnd"/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, and detoxication of ammonium. </w:t>
      </w:r>
      <w:r w:rsidR="0047171B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// </w:t>
      </w:r>
      <w:r w:rsidR="001857DC" w:rsidRPr="0047171B"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>Bull. Exp. Biol. Med.</w:t>
      </w:r>
      <w:r w:rsidR="001857DC" w:rsidRPr="00B924B5">
        <w:rPr>
          <w:rFonts w:ascii="Times New Roman" w:eastAsia="Newton-Regular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Newton-Regular" w:hAnsi="Times New Roman" w:cs="Times New Roman"/>
          <w:iCs/>
          <w:sz w:val="24"/>
          <w:szCs w:val="24"/>
          <w:lang w:val="en-US" w:eastAsia="ru-RU"/>
        </w:rPr>
        <w:t xml:space="preserve">- </w:t>
      </w:r>
      <w:r w:rsidR="0047171B" w:rsidRPr="00EB6310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2008. </w:t>
      </w:r>
      <w:r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- </w:t>
      </w:r>
      <w:r w:rsidR="0047171B" w:rsidRPr="00EB6310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Vol. </w:t>
      </w:r>
      <w:r w:rsidR="001857DC" w:rsidRPr="00EB6310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>146</w:t>
      </w:r>
      <w:r w:rsidR="001857DC" w:rsidRP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,</w:t>
      </w:r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N </w:t>
      </w:r>
      <w:r w:rsidR="007B367E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6. - P.</w:t>
      </w:r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730–732.</w:t>
      </w:r>
    </w:p>
    <w:p w14:paraId="279AD18C" w14:textId="77777777" w:rsidR="001857DC" w:rsidRPr="00B924B5" w:rsidRDefault="001857DC" w:rsidP="00553A28">
      <w:pPr>
        <w:tabs>
          <w:tab w:val="left" w:pos="900"/>
          <w:tab w:val="left" w:pos="1418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15.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Klocke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R. A., Andersson, K. K., </w:t>
      </w:r>
      <w:proofErr w:type="spellStart"/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Rotman</w:t>
      </w:r>
      <w:proofErr w:type="spellEnd"/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H. H., Forster, R. E. Permeability of human erythrocytes to ammonia and weak acids. </w:t>
      </w:r>
      <w:r w:rsidR="00EB63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// </w:t>
      </w:r>
      <w:r w:rsidRPr="00EB63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Am. J. Physiol. </w:t>
      </w:r>
      <w:r w:rsidR="007B3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="00EB63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1972. </w:t>
      </w:r>
      <w:r w:rsidR="007B3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="00EB63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Vol. </w:t>
      </w:r>
      <w:r w:rsidRPr="00EB63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222,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7B3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N. 4. - P.</w:t>
      </w:r>
      <w:r w:rsidR="00EB63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  <w:r w:rsidRPr="00B92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004-1013.</w:t>
      </w:r>
    </w:p>
    <w:p w14:paraId="279AD18D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16.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</w:r>
      <w:r w:rsidR="007B367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Sass M.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D. Utilization of alpha-ketoglutarate by red blood cells for glutathione synthesis.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// </w:t>
      </w:r>
      <w:r w:rsidRP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Nature</w:t>
      </w:r>
      <w:r w:rsidR="007B367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. -</w:t>
      </w:r>
      <w:r w:rsidRP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1963. </w:t>
      </w:r>
      <w:r w:rsidR="007B367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-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Vol. </w:t>
      </w:r>
      <w:r w:rsidRP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200,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B367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N. </w:t>
      </w:r>
      <w:r w:rsidR="006D249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4912. - P.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1209–1210.</w:t>
      </w:r>
    </w:p>
    <w:p w14:paraId="279AD18E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17.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ab/>
        <w:t>Ataullakhano</w:t>
      </w:r>
      <w:r w:rsidR="006D249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v F.I., Buravtsev V.N., Zhabotinskii A.M., Norina S.B., Pichugin A.V., Erlikh L.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I. Interaction of Embden-Meyerhof pathway and hexose monophosphate shunt in erythrocytes.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// </w:t>
      </w:r>
      <w:r w:rsidRPr="00EB6310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Biochemistry (Moscow)</w:t>
      </w:r>
      <w:r w:rsidR="006D2497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. -</w:t>
      </w:r>
      <w:r w:rsidR="00EB6310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 1981. </w:t>
      </w:r>
      <w:r w:rsidR="006D2497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 xml:space="preserve">- </w:t>
      </w:r>
      <w:r w:rsidR="00EB6310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Vol.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EB6310">
        <w:rPr>
          <w:rFonts w:ascii="Times New Roman" w:eastAsia="Times New Roman" w:hAnsi="Times New Roman" w:cs="Times New Roman"/>
          <w:iCs/>
          <w:noProof/>
          <w:sz w:val="24"/>
          <w:szCs w:val="24"/>
          <w:lang w:val="en-US"/>
        </w:rPr>
        <w:t>46</w:t>
      </w:r>
      <w:r w:rsidRP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D249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N. 4. - P.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604–611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. </w:t>
      </w:r>
    </w:p>
    <w:p w14:paraId="279AD18F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18.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</w:r>
      <w:r w:rsidR="006D249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Inoue T., Tashiro R., Shibata M., Shimozawa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R. Effect of pH on the kinetics of bovine liver glutamate dehydrogenase self-association.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// </w:t>
      </w:r>
      <w:r w:rsidRP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BBA - Protein Struct. Mol. Enzym.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D249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– 1982. -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Vol. </w:t>
      </w:r>
      <w:r w:rsidRP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708,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D249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N. 3. - P.</w:t>
      </w:r>
      <w:r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343–347.</w:t>
      </w:r>
    </w:p>
    <w:p w14:paraId="279AD190" w14:textId="77777777" w:rsidR="001857DC" w:rsidRPr="00B924B5" w:rsidRDefault="009E4CD4" w:rsidP="00553A28">
      <w:pPr>
        <w:tabs>
          <w:tab w:val="left" w:pos="1418"/>
        </w:tabs>
        <w:spacing w:after="0" w:line="360" w:lineRule="auto"/>
        <w:ind w:firstLine="709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19.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ab/>
        <w:t>Burnett G., Marcotte</w:t>
      </w:r>
      <w:r w:rsidR="001857DC"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P.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Walsh</w:t>
      </w:r>
      <w:r w:rsidR="001857DC"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C. Mechanism-based inactivation of pig heart L-alanine transaminase by L-propargylglycine. Half-site reactivity.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// </w:t>
      </w:r>
      <w:r w:rsidR="001857DC" w:rsidRP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J. Biol. Chem.</w:t>
      </w:r>
      <w:r w:rsidR="001857DC"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-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1980.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- </w:t>
      </w:r>
      <w:r w:rsid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Vol. </w:t>
      </w:r>
      <w:r w:rsidR="001857DC" w:rsidRPr="00EB631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255,</w:t>
      </w:r>
      <w:r w:rsidR="001857DC"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N. 8. - P.</w:t>
      </w:r>
      <w:r w:rsidR="001857DC" w:rsidRPr="00B924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3487–3491.</w:t>
      </w:r>
    </w:p>
    <w:p w14:paraId="279AD191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contextualSpacing/>
        <w:rPr>
          <w:rFonts w:ascii="Times New Roman" w:eastAsia="Newton-Regular" w:hAnsi="Times New Roman" w:cs="Times New Roman"/>
          <w:sz w:val="24"/>
          <w:szCs w:val="24"/>
          <w:lang w:val="en-US" w:eastAsia="ru-RU"/>
        </w:rPr>
      </w:pP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20.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</w:r>
      <w:hyperlink r:id="rId52" w:history="1">
        <w:proofErr w:type="spellStart"/>
        <w:r w:rsidR="009E4CD4">
          <w:rPr>
            <w:rStyle w:val="a3"/>
            <w:rFonts w:ascii="Times New Roman" w:eastAsia="Newton-Regular" w:hAnsi="Times New Roman" w:cs="Times New Roman"/>
            <w:bCs/>
            <w:sz w:val="24"/>
            <w:szCs w:val="24"/>
            <w:lang w:val="en-US" w:eastAsia="ru-RU"/>
          </w:rPr>
          <w:t>Nazar</w:t>
        </w:r>
        <w:proofErr w:type="spellEnd"/>
        <w:r w:rsidR="009E4CD4">
          <w:rPr>
            <w:rStyle w:val="a3"/>
            <w:rFonts w:ascii="Times New Roman" w:eastAsia="Newton-Regular" w:hAnsi="Times New Roman" w:cs="Times New Roman"/>
            <w:bCs/>
            <w:sz w:val="24"/>
            <w:szCs w:val="24"/>
            <w:lang w:val="en-US" w:eastAsia="ru-RU"/>
          </w:rPr>
          <w:t xml:space="preserve"> B.</w:t>
        </w:r>
        <w:r w:rsidRPr="00B924B5">
          <w:rPr>
            <w:rStyle w:val="a3"/>
            <w:rFonts w:ascii="Times New Roman" w:eastAsia="Newton-Regular" w:hAnsi="Times New Roman" w:cs="Times New Roman"/>
            <w:bCs/>
            <w:sz w:val="24"/>
            <w:szCs w:val="24"/>
            <w:lang w:val="en-US" w:eastAsia="ru-RU"/>
          </w:rPr>
          <w:t>L</w:t>
        </w:r>
      </w:hyperlink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., </w:t>
      </w:r>
      <w:hyperlink r:id="rId53" w:history="1">
        <w:proofErr w:type="spellStart"/>
        <w:r w:rsidR="009E4CD4">
          <w:rPr>
            <w:rStyle w:val="a3"/>
            <w:rFonts w:ascii="Times New Roman" w:eastAsia="Newton-Regular" w:hAnsi="Times New Roman" w:cs="Times New Roman"/>
            <w:bCs/>
            <w:sz w:val="24"/>
            <w:szCs w:val="24"/>
            <w:lang w:val="en-US" w:eastAsia="ru-RU"/>
          </w:rPr>
          <w:t>Schoolwerth</w:t>
        </w:r>
        <w:proofErr w:type="spellEnd"/>
        <w:r w:rsidR="009E4CD4">
          <w:rPr>
            <w:rStyle w:val="a3"/>
            <w:rFonts w:ascii="Times New Roman" w:eastAsia="Newton-Regular" w:hAnsi="Times New Roman" w:cs="Times New Roman"/>
            <w:bCs/>
            <w:sz w:val="24"/>
            <w:szCs w:val="24"/>
            <w:lang w:val="en-US" w:eastAsia="ru-RU"/>
          </w:rPr>
          <w:t xml:space="preserve"> A.</w:t>
        </w:r>
        <w:r w:rsidRPr="00B924B5">
          <w:rPr>
            <w:rStyle w:val="a3"/>
            <w:rFonts w:ascii="Times New Roman" w:eastAsia="Newton-Regular" w:hAnsi="Times New Roman" w:cs="Times New Roman"/>
            <w:bCs/>
            <w:sz w:val="24"/>
            <w:szCs w:val="24"/>
            <w:lang w:val="en-US" w:eastAsia="ru-RU"/>
          </w:rPr>
          <w:t>C</w:t>
        </w:r>
      </w:hyperlink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. An improved microfluorometric enzymatic assay for the determination of ammonia. </w:t>
      </w:r>
      <w:r w:rsid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// </w:t>
      </w:r>
      <w:hyperlink r:id="rId54" w:history="1">
        <w:r w:rsidRPr="00EB6310">
          <w:rPr>
            <w:rStyle w:val="a3"/>
            <w:rFonts w:ascii="Times New Roman" w:eastAsia="Newton-Regular" w:hAnsi="Times New Roman" w:cs="Times New Roman"/>
            <w:sz w:val="24"/>
            <w:szCs w:val="24"/>
            <w:lang w:val="en-US" w:eastAsia="ru-RU"/>
          </w:rPr>
          <w:t xml:space="preserve">Anal </w:t>
        </w:r>
        <w:proofErr w:type="spellStart"/>
        <w:r w:rsidRPr="00EB6310">
          <w:rPr>
            <w:rStyle w:val="a3"/>
            <w:rFonts w:ascii="Times New Roman" w:eastAsia="Newton-Regular" w:hAnsi="Times New Roman" w:cs="Times New Roman"/>
            <w:sz w:val="24"/>
            <w:szCs w:val="24"/>
            <w:lang w:val="en-US" w:eastAsia="ru-RU"/>
          </w:rPr>
          <w:t>Biochem</w:t>
        </w:r>
        <w:proofErr w:type="spellEnd"/>
        <w:r w:rsidRPr="00EB6310">
          <w:rPr>
            <w:rStyle w:val="a3"/>
            <w:rFonts w:ascii="Times New Roman" w:eastAsia="Newton-Regular" w:hAnsi="Times New Roman" w:cs="Times New Roman"/>
            <w:sz w:val="24"/>
            <w:szCs w:val="24"/>
            <w:lang w:val="en-US" w:eastAsia="ru-RU"/>
          </w:rPr>
          <w:t>.</w:t>
        </w:r>
      </w:hyperlink>
      <w:r w:rsidRP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</w:t>
      </w:r>
      <w:r w:rsidR="009E4CD4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- </w:t>
      </w:r>
      <w:r w:rsid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1979. </w:t>
      </w:r>
      <w:r w:rsidR="009E4CD4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- </w:t>
      </w:r>
      <w:r w:rsid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Vol. </w:t>
      </w:r>
      <w:r w:rsidRP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95, </w:t>
      </w:r>
      <w:r w:rsidR="009E4CD4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N. </w:t>
      </w:r>
      <w:r w:rsidR="009F7EC6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2. - </w:t>
      </w:r>
      <w:r w:rsidR="00EB6310" w:rsidRP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P.</w:t>
      </w:r>
      <w:r w:rsidR="009F7EC6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5</w:t>
      </w:r>
      <w:r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07–511.</w:t>
      </w:r>
    </w:p>
    <w:p w14:paraId="279AD192" w14:textId="77777777" w:rsidR="001857DC" w:rsidRPr="00B924B5" w:rsidRDefault="009F7EC6" w:rsidP="00553A28">
      <w:pPr>
        <w:tabs>
          <w:tab w:val="left" w:pos="1418"/>
        </w:tabs>
        <w:spacing w:after="0" w:line="360" w:lineRule="auto"/>
        <w:ind w:firstLine="709"/>
        <w:contextualSpacing/>
        <w:rPr>
          <w:rFonts w:ascii="Times New Roman" w:eastAsia="Newton-Regular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21.</w:t>
      </w:r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ab/>
        <w:t xml:space="preserve">Smith E.L., Austen B.M., Blumenthal K.M., </w:t>
      </w:r>
      <w:proofErr w:type="spellStart"/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Nyc</w:t>
      </w:r>
      <w:proofErr w:type="spellEnd"/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J.</w:t>
      </w:r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F. </w:t>
      </w:r>
      <w:r w:rsidR="001857DC" w:rsidRPr="00B924B5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Glutamate dehydrogenases. </w:t>
      </w:r>
      <w:r w:rsidR="00EB6310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// </w:t>
      </w:r>
      <w:r w:rsidR="001857DC" w:rsidRPr="00B924B5">
        <w:rPr>
          <w:rFonts w:ascii="Times New Roman" w:eastAsia="Newton-Regular" w:hAnsi="Times New Roman" w:cs="Times New Roman"/>
          <w:bCs/>
          <w:sz w:val="24"/>
          <w:szCs w:val="24"/>
          <w:lang w:val="en-US" w:eastAsia="ru-RU"/>
        </w:rPr>
        <w:t xml:space="preserve">In: </w:t>
      </w:r>
      <w:r w:rsidR="001857DC" w:rsidRP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The Enzymes</w:t>
      </w:r>
      <w:r w:rsidR="001857DC" w:rsidRPr="00B924B5">
        <w:rPr>
          <w:rFonts w:ascii="Times New Roman" w:eastAsia="Newton-Regular" w:hAnsi="Times New Roman" w:cs="Times New Roman"/>
          <w:i/>
          <w:sz w:val="24"/>
          <w:szCs w:val="24"/>
          <w:lang w:val="en-US" w:eastAsia="ru-RU"/>
        </w:rPr>
        <w:t xml:space="preserve"> </w:t>
      </w:r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(ed</w:t>
      </w:r>
      <w:r w:rsidR="001857DC" w:rsidRPr="00B924B5">
        <w:rPr>
          <w:rFonts w:ascii="Times New Roman" w:eastAsia="Newton-Regular" w:hAnsi="Times New Roman" w:cs="Times New Roman"/>
          <w:i/>
          <w:sz w:val="24"/>
          <w:szCs w:val="24"/>
          <w:lang w:val="en-US" w:eastAsia="ru-RU"/>
        </w:rPr>
        <w:t>.</w:t>
      </w:r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 Boyer, P. D.), </w:t>
      </w:r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- </w:t>
      </w:r>
      <w:r w:rsid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1975. </w:t>
      </w:r>
      <w:r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 xml:space="preserve">- </w:t>
      </w:r>
      <w:r w:rsidR="00EB6310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P.</w:t>
      </w:r>
      <w:r w:rsidR="001857DC" w:rsidRPr="00B924B5">
        <w:rPr>
          <w:rFonts w:ascii="Times New Roman" w:eastAsia="Newton-Regular" w:hAnsi="Times New Roman" w:cs="Times New Roman"/>
          <w:sz w:val="24"/>
          <w:szCs w:val="24"/>
          <w:lang w:val="en-US" w:eastAsia="ru-RU"/>
        </w:rPr>
        <w:t>293-367 (Academic Press: New York, USA).</w:t>
      </w:r>
    </w:p>
    <w:p w14:paraId="279AD193" w14:textId="77777777" w:rsidR="00EB6310" w:rsidRDefault="009F7EC6" w:rsidP="00EB6310">
      <w:pPr>
        <w:tabs>
          <w:tab w:val="left" w:pos="567"/>
          <w:tab w:val="left" w:pos="1418"/>
        </w:tabs>
        <w:spacing w:before="120"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22.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Millan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.G.,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Marinero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M.L.S., Castaneda A.Z., Lanao J.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M. Drug, enzyme and peptide delivery using erythrocytes as carriers. </w:t>
      </w:r>
      <w:r w:rsidR="00EB631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// </w:t>
      </w:r>
      <w:r w:rsidR="001857DC" w:rsidRPr="00EB631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J. Control. Release</w:t>
      </w:r>
      <w:r w:rsidR="001857DC" w:rsidRPr="00EB6310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1857DC" w:rsidRPr="00EB631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- </w:t>
      </w:r>
      <w:r w:rsidR="00EB631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2004.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- </w:t>
      </w:r>
      <w:r w:rsidR="00EB631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Vol. </w:t>
      </w:r>
      <w:r w:rsidR="001857DC" w:rsidRPr="00EB631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95</w:t>
      </w:r>
      <w:r w:rsidR="001857DC" w:rsidRPr="00EB6310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N. 1. - P.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27–49</w:t>
      </w:r>
      <w:r w:rsidR="00EB6310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279AD194" w14:textId="77777777" w:rsidR="001857DC" w:rsidRPr="00B924B5" w:rsidRDefault="009F7EC6" w:rsidP="004442DB">
      <w:pPr>
        <w:tabs>
          <w:tab w:val="left" w:pos="567"/>
          <w:tab w:val="left" w:pos="1418"/>
        </w:tabs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23.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  <w:t>Gupta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A., Mishra A.K., Bansal P., Kumar S., Gupta V., Singh R., Kalyan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G.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S. Cell based drug delivery system through resealed erythrocyte – a review. </w:t>
      </w:r>
      <w:r w:rsidR="004442D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// </w:t>
      </w:r>
      <w:r w:rsidR="001857DC" w:rsidRPr="004442D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Int. J. Pharm. Sci. Drug Res.</w:t>
      </w:r>
      <w:r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-</w:t>
      </w:r>
      <w:r w:rsidR="001857DC" w:rsidRPr="00B924B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="004442DB" w:rsidRP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2010.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- </w:t>
      </w:r>
      <w:r w:rsidR="004442DB" w:rsidRP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Vol. </w:t>
      </w:r>
      <w:r w:rsidR="001857DC" w:rsidRP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2</w:t>
      </w:r>
      <w:r w:rsidR="001857DC" w:rsidRPr="004442DB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N. 1. - P.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23–30.</w:t>
      </w:r>
    </w:p>
    <w:p w14:paraId="279AD195" w14:textId="77777777" w:rsidR="001857DC" w:rsidRPr="00B924B5" w:rsidRDefault="00CA1DC7" w:rsidP="00553A28">
      <w:pPr>
        <w:tabs>
          <w:tab w:val="left" w:pos="567"/>
          <w:tab w:val="left" w:pos="1418"/>
        </w:tabs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24.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Pierige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F., Serafini S., Rossi L., Magnani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M. Cell-based drug delivery. </w:t>
      </w:r>
      <w:r w:rsidR="001857DC" w:rsidRPr="004442D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Adv. Drug </w:t>
      </w:r>
      <w:proofErr w:type="spellStart"/>
      <w:r w:rsidR="001857DC" w:rsidRPr="004442D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Deliv</w:t>
      </w:r>
      <w:proofErr w:type="spellEnd"/>
      <w:r w:rsidR="001857DC" w:rsidRPr="004442D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. Rev. </w:t>
      </w:r>
      <w:r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- </w:t>
      </w:r>
      <w:r w:rsidR="004442DB" w:rsidRPr="004442D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2008. </w:t>
      </w:r>
      <w:r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- </w:t>
      </w:r>
      <w:r w:rsidR="004442DB" w:rsidRPr="004442DB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Vol.</w:t>
      </w:r>
      <w:r w:rsidR="004442DB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="001857DC" w:rsidRP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60</w:t>
      </w:r>
      <w:r w:rsidR="001857DC" w:rsidRPr="004442DB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N. 2. - P.</w:t>
      </w:r>
      <w:r w:rsidR="001857DC"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286–295.</w:t>
      </w:r>
    </w:p>
    <w:p w14:paraId="279AD196" w14:textId="77777777" w:rsidR="001857DC" w:rsidRPr="00B924B5" w:rsidRDefault="001857DC" w:rsidP="00553A28">
      <w:pPr>
        <w:tabs>
          <w:tab w:val="left" w:pos="1418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CFCFC"/>
          <w:lang w:val="en-US" w:eastAsia="ru-RU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25.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Borsakova</w:t>
      </w:r>
      <w:proofErr w:type="spellEnd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D.V., </w:t>
      </w:r>
      <w:proofErr w:type="spellStart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Protasov</w:t>
      </w:r>
      <w:proofErr w:type="spellEnd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E.S., </w:t>
      </w:r>
      <w:proofErr w:type="spellStart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Nazarenko</w:t>
      </w:r>
      <w:proofErr w:type="spellEnd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S.V., </w:t>
      </w:r>
      <w:proofErr w:type="spellStart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Alexandrovich</w:t>
      </w:r>
      <w:proofErr w:type="spellEnd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Y.G.,</w:t>
      </w:r>
      <w:proofErr w:type="spellStart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Butylin</w:t>
      </w:r>
      <w:proofErr w:type="spellEnd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A.A., </w:t>
      </w:r>
      <w:proofErr w:type="spellStart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Ataullakhanov</w:t>
      </w:r>
      <w:proofErr w:type="spellEnd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F.I., </w:t>
      </w:r>
      <w:proofErr w:type="spellStart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Sinauridze</w:t>
      </w:r>
      <w:proofErr w:type="spellEnd"/>
      <w:r w:rsidR="003F2EA6"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E.I.</w:t>
      </w:r>
      <w:r w:rsidRP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.</w:t>
      </w:r>
      <w:r w:rsidRPr="00B924B5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Ways to increase the activity of glutamate dehydrogenase in erythrocyte-bioreactors for the ammonium removal. </w:t>
      </w:r>
      <w:r w:rsidR="004442DB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// </w:t>
      </w:r>
      <w:r w:rsidRPr="004442DB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Biochemistry (</w:t>
      </w:r>
      <w:proofErr w:type="spellStart"/>
      <w:r w:rsidRPr="004442DB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Mosc</w:t>
      </w:r>
      <w:proofErr w:type="spellEnd"/>
      <w:r w:rsidRPr="004442DB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.), Suppl. Ser. A</w:t>
      </w:r>
      <w:r w:rsid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: </w:t>
      </w:r>
      <w:r w:rsidR="003F2EA6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CFCFC"/>
          <w:lang w:val="en-US" w:eastAsia="ru-RU"/>
        </w:rPr>
        <w:t>Membrane and Cell Biology</w:t>
      </w:r>
      <w:r w:rsidRPr="004442DB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.</w:t>
      </w:r>
      <w:r w:rsidRPr="00B924B5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</w:t>
      </w:r>
      <w:r w:rsidR="00CA1DC7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- </w:t>
      </w:r>
      <w:r w:rsidR="004442DB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2019. </w:t>
      </w:r>
      <w:r w:rsidR="00CA1DC7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- </w:t>
      </w:r>
      <w:r w:rsidR="004442DB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Vol. </w:t>
      </w:r>
      <w:r w:rsidRPr="004442DB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13,</w:t>
      </w:r>
      <w:r w:rsidRPr="00B924B5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 </w:t>
      </w:r>
      <w:r w:rsidR="00CA1DC7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N. </w:t>
      </w:r>
      <w:r w:rsidR="003F2EA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13. - </w:t>
      </w:r>
      <w:r w:rsidR="00CA1DC7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>P.</w:t>
      </w:r>
      <w:r w:rsidRPr="00B924B5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en-US" w:eastAsia="ru-RU"/>
        </w:rPr>
        <w:t xml:space="preserve">212–224. </w:t>
      </w:r>
    </w:p>
    <w:p w14:paraId="279AD197" w14:textId="77777777" w:rsidR="001857DC" w:rsidRPr="00B924B5" w:rsidRDefault="001857DC" w:rsidP="00553A28">
      <w:pPr>
        <w:tabs>
          <w:tab w:val="left" w:pos="567"/>
          <w:tab w:val="left" w:pos="1418"/>
        </w:tabs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>26.</w:t>
      </w:r>
      <w:r w:rsidRPr="00B924B5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Kravtzoff</w:t>
      </w:r>
      <w:proofErr w:type="spellEnd"/>
      <w:r w:rsidR="003F2EA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R., </w:t>
      </w:r>
      <w:proofErr w:type="spellStart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Desbois</w:t>
      </w:r>
      <w:proofErr w:type="spellEnd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I., </w:t>
      </w:r>
      <w:proofErr w:type="spellStart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Chassaigne</w:t>
      </w:r>
      <w:proofErr w:type="spellEnd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M.,</w:t>
      </w:r>
      <w:r w:rsidR="003E2AE0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Muh</w:t>
      </w:r>
      <w:proofErr w:type="spellEnd"/>
      <w:r w:rsidR="003F2EA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J.</w:t>
      </w:r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P., </w:t>
      </w:r>
      <w:proofErr w:type="spellStart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Lamagnere</w:t>
      </w:r>
      <w:proofErr w:type="spellEnd"/>
      <w:r w:rsidR="003F2EA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J</w:t>
      </w:r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P., </w:t>
      </w:r>
      <w:proofErr w:type="spellStart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Colombat</w:t>
      </w:r>
      <w:proofErr w:type="spellEnd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Ph., </w:t>
      </w:r>
      <w:proofErr w:type="spellStart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Ropars</w:t>
      </w:r>
      <w:proofErr w:type="spellEnd"/>
      <w:r w:rsidR="003E19C3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C.</w:t>
      </w:r>
      <w:r w:rsidR="003E2AE0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="003E2AE0" w:rsidRPr="00B924B5">
        <w:rPr>
          <w:rFonts w:ascii="Times New Roman" w:eastAsia="Calibri" w:hAnsi="Times New Roman" w:cs="Times New Roman"/>
          <w:bCs/>
          <w:i/>
          <w:sz w:val="24"/>
          <w:szCs w:val="24"/>
          <w:lang w:val="en-US"/>
        </w:rPr>
        <w:t>In vivo</w:t>
      </w:r>
      <w:r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="003E2AE0"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activity of L-asparaginase entrapped into human and mouse red blood cells. </w:t>
      </w:r>
      <w:r w:rsid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// </w:t>
      </w:r>
      <w:r w:rsidRP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Adv. </w:t>
      </w:r>
      <w:proofErr w:type="spellStart"/>
      <w:r w:rsidRP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Biosci</w:t>
      </w:r>
      <w:proofErr w:type="spellEnd"/>
      <w:r w:rsidRP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</w:t>
      </w:r>
      <w:r w:rsid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="003F2EA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- </w:t>
      </w:r>
      <w:r w:rsid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1991. </w:t>
      </w:r>
      <w:r w:rsidR="003F2EA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- </w:t>
      </w:r>
      <w:r w:rsidR="004442D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Vol. </w:t>
      </w:r>
      <w:r w:rsidR="003F2EA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8. -</w:t>
      </w:r>
      <w:r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="003F2EA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P.</w:t>
      </w:r>
      <w:r w:rsidRPr="00B92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127-137.</w:t>
      </w:r>
      <w:r w:rsidRPr="00B924B5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279AD198" w14:textId="79085B27" w:rsidR="00951610" w:rsidRPr="00584DEA" w:rsidRDefault="001857DC" w:rsidP="00553A28">
      <w:pPr>
        <w:pStyle w:val="a6"/>
        <w:tabs>
          <w:tab w:val="left" w:pos="567"/>
          <w:tab w:val="left" w:pos="1418"/>
        </w:tabs>
        <w:spacing w:before="0" w:beforeAutospacing="0" w:after="0" w:afterAutospacing="0" w:line="360" w:lineRule="auto"/>
        <w:ind w:firstLine="709"/>
        <w:textAlignment w:val="baseline"/>
        <w:rPr>
          <w:rFonts w:eastAsia="+mn-ea"/>
          <w:bCs/>
          <w:color w:val="000000"/>
          <w:kern w:val="24"/>
        </w:rPr>
      </w:pPr>
      <w:r w:rsidRPr="00B924B5">
        <w:rPr>
          <w:rFonts w:eastAsia="Calibri"/>
          <w:lang w:val="en-US"/>
        </w:rPr>
        <w:t>27.</w:t>
      </w:r>
      <w:r w:rsidRPr="00B924B5">
        <w:rPr>
          <w:rFonts w:eastAsia="Calibri"/>
          <w:lang w:val="en-US"/>
        </w:rPr>
        <w:tab/>
      </w:r>
      <w:proofErr w:type="spellStart"/>
      <w:r w:rsidRPr="00B924B5">
        <w:rPr>
          <w:rFonts w:eastAsia="+mn-ea"/>
          <w:bCs/>
          <w:color w:val="000000"/>
          <w:kern w:val="24"/>
          <w:lang w:val="en-US"/>
        </w:rPr>
        <w:t>Kravtzoff</w:t>
      </w:r>
      <w:proofErr w:type="spellEnd"/>
      <w:r w:rsidRPr="00B924B5">
        <w:rPr>
          <w:rFonts w:eastAsia="+mn-ea"/>
          <w:bCs/>
          <w:color w:val="000000"/>
          <w:kern w:val="24"/>
          <w:lang w:val="en-US"/>
        </w:rPr>
        <w:t xml:space="preserve"> R., </w:t>
      </w:r>
      <w:proofErr w:type="spellStart"/>
      <w:r w:rsidRPr="00B924B5">
        <w:rPr>
          <w:rFonts w:eastAsia="+mn-ea"/>
          <w:bCs/>
          <w:color w:val="000000"/>
          <w:kern w:val="24"/>
          <w:lang w:val="en-US"/>
        </w:rPr>
        <w:t>Debois</w:t>
      </w:r>
      <w:proofErr w:type="spellEnd"/>
      <w:r w:rsidRPr="00B924B5">
        <w:rPr>
          <w:rFonts w:eastAsia="+mn-ea"/>
          <w:bCs/>
          <w:color w:val="000000"/>
          <w:kern w:val="24"/>
          <w:lang w:val="en-US"/>
        </w:rPr>
        <w:t xml:space="preserve"> I., </w:t>
      </w:r>
      <w:proofErr w:type="spellStart"/>
      <w:r w:rsidRPr="00B924B5">
        <w:rPr>
          <w:rFonts w:eastAsia="+mn-ea"/>
          <w:bCs/>
          <w:color w:val="000000"/>
          <w:kern w:val="24"/>
          <w:lang w:val="en-US"/>
        </w:rPr>
        <w:t>Lamagnere</w:t>
      </w:r>
      <w:proofErr w:type="spellEnd"/>
      <w:r w:rsidRPr="00B924B5">
        <w:rPr>
          <w:rFonts w:eastAsia="+mn-ea"/>
          <w:bCs/>
          <w:color w:val="000000"/>
          <w:kern w:val="24"/>
          <w:lang w:val="en-US"/>
        </w:rPr>
        <w:t xml:space="preserve"> J.</w:t>
      </w:r>
      <w:r w:rsidR="001F39A2">
        <w:rPr>
          <w:rFonts w:eastAsia="+mn-ea"/>
          <w:bCs/>
          <w:color w:val="000000"/>
          <w:kern w:val="24"/>
          <w:lang w:val="en-US"/>
        </w:rPr>
        <w:t xml:space="preserve">P., </w:t>
      </w:r>
      <w:proofErr w:type="spellStart"/>
      <w:r w:rsidR="001F39A2">
        <w:rPr>
          <w:rFonts w:eastAsia="+mn-ea"/>
          <w:bCs/>
          <w:color w:val="000000"/>
          <w:kern w:val="24"/>
          <w:lang w:val="en-US"/>
        </w:rPr>
        <w:t>Muh</w:t>
      </w:r>
      <w:proofErr w:type="spellEnd"/>
      <w:r w:rsidR="001F39A2">
        <w:rPr>
          <w:rFonts w:eastAsia="+mn-ea"/>
          <w:bCs/>
          <w:color w:val="000000"/>
          <w:kern w:val="24"/>
          <w:lang w:val="en-US"/>
        </w:rPr>
        <w:t xml:space="preserve"> J.</w:t>
      </w:r>
      <w:r w:rsidRPr="00B924B5">
        <w:rPr>
          <w:rFonts w:eastAsia="+mn-ea"/>
          <w:bCs/>
          <w:color w:val="000000"/>
          <w:kern w:val="24"/>
          <w:lang w:val="en-US"/>
        </w:rPr>
        <w:t xml:space="preserve">R., </w:t>
      </w:r>
      <w:proofErr w:type="spellStart"/>
      <w:r w:rsidRPr="00B924B5">
        <w:rPr>
          <w:rFonts w:eastAsia="+mn-ea"/>
          <w:bCs/>
          <w:color w:val="000000"/>
          <w:kern w:val="24"/>
          <w:lang w:val="en-US"/>
        </w:rPr>
        <w:t>Vala</w:t>
      </w:r>
      <w:r w:rsidR="001F39A2">
        <w:rPr>
          <w:rFonts w:eastAsia="+mn-ea"/>
          <w:bCs/>
          <w:color w:val="000000"/>
          <w:kern w:val="24"/>
          <w:lang w:val="en-US"/>
        </w:rPr>
        <w:t>t</w:t>
      </w:r>
      <w:proofErr w:type="spellEnd"/>
      <w:r w:rsidR="001F39A2">
        <w:rPr>
          <w:rFonts w:eastAsia="+mn-ea"/>
          <w:bCs/>
          <w:color w:val="000000"/>
          <w:kern w:val="24"/>
          <w:lang w:val="en-US"/>
        </w:rPr>
        <w:t xml:space="preserve"> Ch., </w:t>
      </w:r>
      <w:proofErr w:type="spellStart"/>
      <w:r w:rsidR="001F39A2">
        <w:rPr>
          <w:rFonts w:eastAsia="+mn-ea"/>
          <w:bCs/>
          <w:color w:val="000000"/>
          <w:kern w:val="24"/>
          <w:lang w:val="en-US"/>
        </w:rPr>
        <w:t>Chassaign</w:t>
      </w:r>
      <w:proofErr w:type="spellEnd"/>
      <w:r w:rsidR="001F39A2">
        <w:rPr>
          <w:rFonts w:eastAsia="+mn-ea"/>
          <w:bCs/>
          <w:color w:val="000000"/>
          <w:kern w:val="24"/>
          <w:lang w:val="en-US"/>
        </w:rPr>
        <w:t xml:space="preserve">, M., </w:t>
      </w:r>
      <w:proofErr w:type="spellStart"/>
      <w:r w:rsidR="001F39A2">
        <w:rPr>
          <w:rFonts w:eastAsia="+mn-ea"/>
          <w:bCs/>
          <w:color w:val="000000"/>
          <w:kern w:val="24"/>
          <w:lang w:val="en-US"/>
        </w:rPr>
        <w:t>Colombat</w:t>
      </w:r>
      <w:proofErr w:type="spellEnd"/>
      <w:r w:rsidR="001F39A2">
        <w:rPr>
          <w:rFonts w:eastAsia="+mn-ea"/>
          <w:bCs/>
          <w:color w:val="000000"/>
          <w:kern w:val="24"/>
          <w:lang w:val="en-US"/>
        </w:rPr>
        <w:t xml:space="preserve"> Ph., </w:t>
      </w:r>
      <w:proofErr w:type="spellStart"/>
      <w:r w:rsidR="001F39A2">
        <w:rPr>
          <w:rFonts w:eastAsia="+mn-ea"/>
          <w:bCs/>
          <w:color w:val="000000"/>
          <w:kern w:val="24"/>
          <w:lang w:val="en-US"/>
        </w:rPr>
        <w:t>Ropars</w:t>
      </w:r>
      <w:proofErr w:type="spellEnd"/>
      <w:r w:rsidRPr="00B924B5">
        <w:rPr>
          <w:rFonts w:eastAsia="+mn-ea"/>
          <w:bCs/>
          <w:color w:val="000000"/>
          <w:kern w:val="24"/>
          <w:lang w:val="en-US"/>
        </w:rPr>
        <w:t xml:space="preserve"> C. Improved </w:t>
      </w:r>
      <w:proofErr w:type="spellStart"/>
      <w:r w:rsidRPr="00B924B5">
        <w:rPr>
          <w:rFonts w:eastAsia="+mn-ea"/>
          <w:bCs/>
          <w:color w:val="000000"/>
          <w:kern w:val="24"/>
          <w:lang w:val="en-US"/>
        </w:rPr>
        <w:t>pharmacodynamicsof</w:t>
      </w:r>
      <w:proofErr w:type="spellEnd"/>
      <w:r w:rsidRPr="00B924B5">
        <w:rPr>
          <w:rFonts w:eastAsia="+mn-ea"/>
          <w:bCs/>
          <w:color w:val="000000"/>
          <w:kern w:val="24"/>
          <w:lang w:val="en-US"/>
        </w:rPr>
        <w:t xml:space="preserve"> L-asparaginase-loaded</w:t>
      </w:r>
      <w:r w:rsidR="001F39A2">
        <w:rPr>
          <w:rFonts w:eastAsia="+mn-ea"/>
          <w:bCs/>
          <w:color w:val="000000"/>
          <w:kern w:val="24"/>
          <w:lang w:val="en-US"/>
        </w:rPr>
        <w:t xml:space="preserve"> </w:t>
      </w:r>
      <w:r w:rsidRPr="00B924B5">
        <w:rPr>
          <w:rFonts w:eastAsia="+mn-ea"/>
          <w:bCs/>
          <w:color w:val="000000"/>
          <w:kern w:val="24"/>
          <w:lang w:val="en-US"/>
        </w:rPr>
        <w:t xml:space="preserve">in human red blood cell. </w:t>
      </w:r>
      <w:r w:rsidR="004442DB">
        <w:rPr>
          <w:rFonts w:eastAsia="+mn-ea"/>
          <w:bCs/>
          <w:color w:val="000000"/>
          <w:kern w:val="24"/>
          <w:lang w:val="en-US"/>
        </w:rPr>
        <w:t xml:space="preserve">// </w:t>
      </w:r>
      <w:r w:rsidRPr="004442DB">
        <w:rPr>
          <w:rFonts w:eastAsia="+mn-ea"/>
          <w:bCs/>
          <w:iCs/>
          <w:color w:val="000000"/>
          <w:kern w:val="24"/>
          <w:lang w:val="en-US"/>
        </w:rPr>
        <w:t xml:space="preserve">Eur. J. Clin. </w:t>
      </w:r>
      <w:proofErr w:type="spellStart"/>
      <w:r w:rsidRPr="004442DB">
        <w:rPr>
          <w:rFonts w:eastAsia="+mn-ea"/>
          <w:bCs/>
          <w:iCs/>
          <w:color w:val="000000"/>
          <w:kern w:val="24"/>
          <w:lang w:val="en-US"/>
        </w:rPr>
        <w:t>Pharmacol</w:t>
      </w:r>
      <w:proofErr w:type="spellEnd"/>
      <w:r w:rsidRPr="00584DEA">
        <w:rPr>
          <w:rFonts w:eastAsia="+mn-ea"/>
          <w:bCs/>
          <w:color w:val="000000"/>
          <w:kern w:val="24"/>
        </w:rPr>
        <w:t xml:space="preserve">. </w:t>
      </w:r>
      <w:r w:rsidR="004442DB" w:rsidRPr="00584DEA">
        <w:rPr>
          <w:rFonts w:eastAsia="+mn-ea"/>
          <w:bCs/>
          <w:color w:val="000000"/>
          <w:kern w:val="24"/>
        </w:rPr>
        <w:t xml:space="preserve">1996. </w:t>
      </w:r>
      <w:r w:rsidR="004442DB" w:rsidRPr="004442DB">
        <w:rPr>
          <w:rFonts w:eastAsia="+mn-ea"/>
          <w:bCs/>
          <w:color w:val="000000"/>
          <w:kern w:val="24"/>
          <w:lang w:val="en-US"/>
        </w:rPr>
        <w:t>Vol</w:t>
      </w:r>
      <w:r w:rsidR="004442DB" w:rsidRPr="00584DEA">
        <w:rPr>
          <w:rFonts w:eastAsia="+mn-ea"/>
          <w:bCs/>
          <w:color w:val="000000"/>
          <w:kern w:val="24"/>
        </w:rPr>
        <w:t xml:space="preserve">. </w:t>
      </w:r>
      <w:r w:rsidRPr="00584DEA">
        <w:rPr>
          <w:rFonts w:eastAsia="+mn-ea"/>
          <w:bCs/>
          <w:color w:val="000000"/>
          <w:kern w:val="24"/>
        </w:rPr>
        <w:t xml:space="preserve">49, </w:t>
      </w:r>
      <w:r w:rsidR="001F39A2">
        <w:rPr>
          <w:rFonts w:eastAsia="+mn-ea"/>
          <w:bCs/>
          <w:color w:val="000000"/>
          <w:kern w:val="24"/>
          <w:lang w:val="en-US"/>
        </w:rPr>
        <w:t>N</w:t>
      </w:r>
      <w:r w:rsidR="001F39A2" w:rsidRPr="00584DEA">
        <w:rPr>
          <w:rFonts w:eastAsia="+mn-ea"/>
          <w:bCs/>
          <w:color w:val="000000"/>
          <w:kern w:val="24"/>
        </w:rPr>
        <w:t xml:space="preserve">. 6. - </w:t>
      </w:r>
      <w:r w:rsidR="004442DB">
        <w:rPr>
          <w:rFonts w:eastAsia="+mn-ea"/>
          <w:bCs/>
          <w:color w:val="000000"/>
          <w:kern w:val="24"/>
          <w:lang w:val="en-US"/>
        </w:rPr>
        <w:t>P</w:t>
      </w:r>
      <w:r w:rsidR="001F39A2" w:rsidRPr="00584DEA">
        <w:rPr>
          <w:rFonts w:eastAsia="+mn-ea"/>
          <w:bCs/>
          <w:color w:val="000000"/>
          <w:kern w:val="24"/>
        </w:rPr>
        <w:t>.</w:t>
      </w:r>
      <w:r w:rsidRPr="00584DEA">
        <w:rPr>
          <w:rFonts w:eastAsia="+mn-ea"/>
          <w:bCs/>
          <w:color w:val="000000"/>
          <w:kern w:val="24"/>
        </w:rPr>
        <w:t>465-470.</w:t>
      </w:r>
    </w:p>
    <w:p w14:paraId="509DE0DA" w14:textId="77777777" w:rsidR="00951610" w:rsidRPr="00584DEA" w:rsidRDefault="00951610">
      <w:pP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584DEA">
        <w:rPr>
          <w:rFonts w:eastAsia="+mn-ea"/>
          <w:bCs/>
          <w:color w:val="000000"/>
          <w:kern w:val="24"/>
        </w:rPr>
        <w:br w:type="page"/>
      </w:r>
    </w:p>
    <w:p w14:paraId="01216410" w14:textId="1FF24CAD" w:rsidR="002A7547" w:rsidRPr="00951610" w:rsidRDefault="00951610" w:rsidP="002148AB">
      <w:pPr>
        <w:pStyle w:val="1"/>
      </w:pPr>
      <w:bookmarkStart w:id="50" w:name="_Toc94790916"/>
      <w:r w:rsidRPr="00951610">
        <w:lastRenderedPageBreak/>
        <w:t>Приложение 1. Список работ, опубликованных по итогам выполнения НИР</w:t>
      </w:r>
      <w:bookmarkEnd w:id="50"/>
    </w:p>
    <w:p w14:paraId="2D745CFE" w14:textId="77777777" w:rsidR="00951610" w:rsidRDefault="00951610" w:rsidP="00553A28">
      <w:pPr>
        <w:pStyle w:val="a6"/>
        <w:tabs>
          <w:tab w:val="left" w:pos="567"/>
          <w:tab w:val="left" w:pos="1418"/>
        </w:tabs>
        <w:spacing w:before="0" w:beforeAutospacing="0" w:after="0" w:afterAutospacing="0" w:line="360" w:lineRule="auto"/>
        <w:ind w:firstLine="709"/>
        <w:textAlignment w:val="baseline"/>
      </w:pPr>
    </w:p>
    <w:p w14:paraId="64205570" w14:textId="334E156C" w:rsidR="00951610" w:rsidRPr="00803D39" w:rsidRDefault="00803D39" w:rsidP="00150D14">
      <w:pPr>
        <w:pStyle w:val="a6"/>
        <w:numPr>
          <w:ilvl w:val="0"/>
          <w:numId w:val="3"/>
        </w:numPr>
        <w:tabs>
          <w:tab w:val="left" w:pos="567"/>
          <w:tab w:val="left" w:pos="1418"/>
        </w:tabs>
        <w:spacing w:before="0" w:beforeAutospacing="0" w:after="0" w:afterAutospacing="0" w:line="360" w:lineRule="auto"/>
        <w:ind w:left="1066" w:hanging="357"/>
        <w:textAlignment w:val="baseline"/>
      </w:pPr>
      <w:proofErr w:type="spellStart"/>
      <w:r w:rsidRPr="00803D39">
        <w:t>Борсакова</w:t>
      </w:r>
      <w:proofErr w:type="spellEnd"/>
      <w:r w:rsidRPr="00803D39">
        <w:t xml:space="preserve"> Д.В., Протасов Е.С., Назаренко С.В., Александрович Ю.Г., </w:t>
      </w:r>
      <w:proofErr w:type="spellStart"/>
      <w:r w:rsidRPr="00803D39">
        <w:t>Бутылин</w:t>
      </w:r>
      <w:proofErr w:type="spellEnd"/>
      <w:r w:rsidRPr="00803D39">
        <w:t xml:space="preserve"> А.А., </w:t>
      </w:r>
      <w:proofErr w:type="spellStart"/>
      <w:r w:rsidRPr="00803D39">
        <w:t>Атауллаханов</w:t>
      </w:r>
      <w:proofErr w:type="spellEnd"/>
      <w:r w:rsidRPr="00803D39">
        <w:t xml:space="preserve"> Ф.И., </w:t>
      </w:r>
      <w:proofErr w:type="spellStart"/>
      <w:r w:rsidRPr="00803D39">
        <w:t>Синауридзе</w:t>
      </w:r>
      <w:proofErr w:type="spellEnd"/>
      <w:r w:rsidRPr="00803D39">
        <w:t xml:space="preserve"> Е.И. Способы повышения активности </w:t>
      </w:r>
      <w:proofErr w:type="spellStart"/>
      <w:r w:rsidRPr="00803D39">
        <w:t>глутаматдегидрогеназы</w:t>
      </w:r>
      <w:proofErr w:type="spellEnd"/>
      <w:r w:rsidRPr="00803D39">
        <w:t xml:space="preserve"> в эритроцитах-биореакторах для удаления аммония. 2019. Т. 36. № 3. С. 192-206.</w:t>
      </w:r>
      <w:r>
        <w:rPr>
          <w:lang w:val="en-US"/>
        </w:rPr>
        <w:t xml:space="preserve"> </w:t>
      </w:r>
      <w:proofErr w:type="spellStart"/>
      <w:r w:rsidR="00150D14">
        <w:rPr>
          <w:lang w:val="en-US"/>
        </w:rPr>
        <w:t>doi</w:t>
      </w:r>
      <w:proofErr w:type="spellEnd"/>
      <w:r w:rsidR="00150D14">
        <w:rPr>
          <w:lang w:val="en-US"/>
        </w:rPr>
        <w:t xml:space="preserve">: </w:t>
      </w:r>
      <w:r w:rsidR="00150D14" w:rsidRPr="00150D14">
        <w:rPr>
          <w:lang w:val="en-US"/>
        </w:rPr>
        <w:t>10.1134/S0233475519030046</w:t>
      </w:r>
      <w:r w:rsidR="00150D14">
        <w:rPr>
          <w:lang w:val="en-US"/>
        </w:rPr>
        <w:t xml:space="preserve"> </w:t>
      </w:r>
      <w:r w:rsidRPr="00150D14">
        <w:rPr>
          <w:b/>
          <w:lang w:val="en-US"/>
        </w:rPr>
        <w:t>WOS/Scopus</w:t>
      </w:r>
    </w:p>
    <w:p w14:paraId="000E82A8" w14:textId="278EA0FB" w:rsidR="00803D39" w:rsidRPr="00150D14" w:rsidRDefault="00150D14" w:rsidP="00150D14">
      <w:pPr>
        <w:pStyle w:val="a6"/>
        <w:numPr>
          <w:ilvl w:val="0"/>
          <w:numId w:val="3"/>
        </w:numPr>
        <w:tabs>
          <w:tab w:val="left" w:pos="567"/>
          <w:tab w:val="left" w:pos="1418"/>
        </w:tabs>
        <w:spacing w:after="0" w:line="360" w:lineRule="auto"/>
        <w:ind w:left="1066" w:hanging="357"/>
        <w:textAlignment w:val="baseline"/>
        <w:rPr>
          <w:lang w:val="en-US"/>
        </w:rPr>
      </w:pPr>
      <w:proofErr w:type="spellStart"/>
      <w:r w:rsidRPr="00150D14">
        <w:t>Eugeniy</w:t>
      </w:r>
      <w:proofErr w:type="spellEnd"/>
      <w:r w:rsidRPr="00150D14">
        <w:t xml:space="preserve"> S. </w:t>
      </w:r>
      <w:proofErr w:type="spellStart"/>
      <w:r w:rsidRPr="00150D14">
        <w:t>Protasov</w:t>
      </w:r>
      <w:proofErr w:type="spellEnd"/>
      <w:r w:rsidRPr="00150D14">
        <w:t xml:space="preserve">, </w:t>
      </w:r>
      <w:proofErr w:type="spellStart"/>
      <w:r w:rsidRPr="00150D14">
        <w:t>Daria</w:t>
      </w:r>
      <w:proofErr w:type="spellEnd"/>
      <w:r w:rsidRPr="00150D14">
        <w:t xml:space="preserve"> V. </w:t>
      </w:r>
      <w:proofErr w:type="spellStart"/>
      <w:r w:rsidRPr="00150D14">
        <w:t>Borsakova</w:t>
      </w:r>
      <w:proofErr w:type="spellEnd"/>
      <w:r w:rsidRPr="00150D14">
        <w:t xml:space="preserve">, </w:t>
      </w:r>
      <w:proofErr w:type="spellStart"/>
      <w:r w:rsidRPr="00150D14">
        <w:t>Yuliya</w:t>
      </w:r>
      <w:proofErr w:type="spellEnd"/>
      <w:r w:rsidRPr="00150D14">
        <w:t xml:space="preserve"> G. </w:t>
      </w:r>
      <w:proofErr w:type="spellStart"/>
      <w:r w:rsidRPr="00150D14">
        <w:t>Alexandrovich</w:t>
      </w:r>
      <w:proofErr w:type="spellEnd"/>
      <w:r w:rsidRPr="00150D14">
        <w:t xml:space="preserve">, </w:t>
      </w:r>
      <w:proofErr w:type="spellStart"/>
      <w:r w:rsidRPr="00150D14">
        <w:t>Anatoliy</w:t>
      </w:r>
      <w:proofErr w:type="spellEnd"/>
      <w:r w:rsidRPr="00150D14">
        <w:t xml:space="preserve"> V. </w:t>
      </w:r>
      <w:proofErr w:type="spellStart"/>
      <w:r w:rsidRPr="00150D14">
        <w:t>Korotkov</w:t>
      </w:r>
      <w:proofErr w:type="spellEnd"/>
      <w:r w:rsidRPr="00150D14">
        <w:t xml:space="preserve">, </w:t>
      </w:r>
      <w:proofErr w:type="spellStart"/>
      <w:r w:rsidRPr="00150D14">
        <w:t>Elena</w:t>
      </w:r>
      <w:proofErr w:type="spellEnd"/>
      <w:r w:rsidRPr="00150D14">
        <w:t xml:space="preserve"> A. </w:t>
      </w:r>
      <w:proofErr w:type="spellStart"/>
      <w:r w:rsidRPr="00150D14">
        <w:t>Kosenko</w:t>
      </w:r>
      <w:proofErr w:type="spellEnd"/>
      <w:r w:rsidRPr="00150D14">
        <w:t xml:space="preserve">, </w:t>
      </w:r>
      <w:proofErr w:type="spellStart"/>
      <w:r w:rsidRPr="00150D14">
        <w:t>Andrey</w:t>
      </w:r>
      <w:proofErr w:type="spellEnd"/>
      <w:r w:rsidRPr="00150D14">
        <w:t xml:space="preserve"> A. </w:t>
      </w:r>
      <w:proofErr w:type="spellStart"/>
      <w:r w:rsidRPr="00150D14">
        <w:t>Butylin</w:t>
      </w:r>
      <w:proofErr w:type="spellEnd"/>
      <w:r w:rsidRPr="00150D14">
        <w:t xml:space="preserve">, </w:t>
      </w:r>
      <w:proofErr w:type="spellStart"/>
      <w:r w:rsidRPr="00150D14">
        <w:t>Fazoil</w:t>
      </w:r>
      <w:proofErr w:type="spellEnd"/>
      <w:r w:rsidRPr="00150D14">
        <w:t xml:space="preserve"> I. </w:t>
      </w:r>
      <w:proofErr w:type="spellStart"/>
      <w:r w:rsidRPr="00150D14">
        <w:t>Ataullakhanov</w:t>
      </w:r>
      <w:proofErr w:type="spellEnd"/>
      <w:r w:rsidRPr="00150D14">
        <w:t xml:space="preserve"> &amp; </w:t>
      </w:r>
      <w:proofErr w:type="spellStart"/>
      <w:r w:rsidRPr="00150D14">
        <w:t>Elena</w:t>
      </w:r>
      <w:proofErr w:type="spellEnd"/>
      <w:r w:rsidRPr="00150D14">
        <w:t xml:space="preserve"> I. </w:t>
      </w:r>
      <w:proofErr w:type="spellStart"/>
      <w:r w:rsidRPr="00150D14">
        <w:t>Sinauridze</w:t>
      </w:r>
      <w:proofErr w:type="spellEnd"/>
      <w:r w:rsidRPr="00150D14">
        <w:t xml:space="preserve">. </w:t>
      </w:r>
      <w:r w:rsidRPr="00150D14">
        <w:rPr>
          <w:lang w:val="en-US"/>
        </w:rPr>
        <w:t>Erythrocytes as bioreactors to decrease excess ammonium concentration in blood</w:t>
      </w:r>
      <w:r>
        <w:rPr>
          <w:lang w:val="en-US"/>
        </w:rPr>
        <w:t xml:space="preserve">. </w:t>
      </w:r>
      <w:r w:rsidRPr="00150D14">
        <w:rPr>
          <w:lang w:val="en-US"/>
        </w:rPr>
        <w:t>Sci Rep</w:t>
      </w:r>
      <w:r>
        <w:rPr>
          <w:lang w:val="en-US"/>
        </w:rPr>
        <w:t xml:space="preserve">. </w:t>
      </w:r>
      <w:r w:rsidRPr="00150D14">
        <w:rPr>
          <w:lang w:val="en-US"/>
        </w:rPr>
        <w:t xml:space="preserve">2019. 9(1):1455. </w:t>
      </w:r>
      <w:proofErr w:type="spellStart"/>
      <w:r w:rsidRPr="00150D14">
        <w:rPr>
          <w:lang w:val="en-US"/>
        </w:rPr>
        <w:t>doi</w:t>
      </w:r>
      <w:proofErr w:type="spellEnd"/>
      <w:r w:rsidRPr="00150D14">
        <w:rPr>
          <w:lang w:val="en-US"/>
        </w:rPr>
        <w:t xml:space="preserve">: 10.1038/s41598-018-37828-5 </w:t>
      </w:r>
      <w:r w:rsidRPr="00150D14">
        <w:rPr>
          <w:b/>
          <w:lang w:val="en-US"/>
        </w:rPr>
        <w:t>WOS/Scopus</w:t>
      </w:r>
    </w:p>
    <w:p w14:paraId="36C9646B" w14:textId="095AE433" w:rsidR="00150D14" w:rsidRPr="00150D14" w:rsidRDefault="00150D14" w:rsidP="00150D14">
      <w:pPr>
        <w:pStyle w:val="a5"/>
        <w:numPr>
          <w:ilvl w:val="0"/>
          <w:numId w:val="3"/>
        </w:numPr>
        <w:spacing w:line="360" w:lineRule="auto"/>
        <w:ind w:left="1066" w:hanging="35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Koleva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L.D., </w:t>
      </w: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Bovt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E.A., </w:t>
      </w: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Ataullakhanov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F.I., </w:t>
      </w: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Sinauridze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E.I. Erythrocytes as carriers: from drug delivery to biosensors. Pharmaceutics. 2020. 12(3): E276.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DOI:10.3390/pharmaceutics12030276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WOS/Scopus</w:t>
      </w:r>
    </w:p>
    <w:p w14:paraId="3829AAEA" w14:textId="797EA76B" w:rsidR="00150D14" w:rsidRPr="0088348E" w:rsidRDefault="00150D14" w:rsidP="00150D14">
      <w:pPr>
        <w:pStyle w:val="a5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Irina </w:t>
      </w: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Kumukova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Pavel </w:t>
      </w: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Trakhtman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Nicolay </w:t>
      </w: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Starostin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Daria </w:t>
      </w: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Borsakova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Anastasia </w:t>
      </w:r>
      <w:proofErr w:type="spellStart"/>
      <w:proofErr w:type="gram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Ignatova,Yana</w:t>
      </w:r>
      <w:proofErr w:type="spellEnd"/>
      <w:proofErr w:type="gram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Bayzyanova</w:t>
      </w:r>
      <w:proofErr w:type="spellEnd"/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Quality assessment of red blood cell suspensions derived from pathogen-reduced whole blood. Vox Sangu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inis. 2020. </w:t>
      </w:r>
      <w:r w:rsidRPr="0015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116(5):547-556. DOI:10.1111/vox.13039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50D1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WOS/Scopus</w:t>
      </w:r>
    </w:p>
    <w:p w14:paraId="0583CFE2" w14:textId="6851C039" w:rsidR="0088348E" w:rsidRPr="0088348E" w:rsidRDefault="0088348E" w:rsidP="0088348E">
      <w:pPr>
        <w:pStyle w:val="a5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348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Колева</w:t>
      </w:r>
      <w:proofErr w:type="spellEnd"/>
      <w:r w:rsidRPr="0088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Л.Д., </w:t>
      </w:r>
      <w:proofErr w:type="spellStart"/>
      <w:r w:rsidRPr="0088348E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Атауллаханов</w:t>
      </w:r>
      <w:proofErr w:type="spellEnd"/>
      <w:r w:rsidRPr="0088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Ф.И., </w:t>
      </w:r>
      <w:proofErr w:type="spellStart"/>
      <w:r w:rsidRPr="0088348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Синауридзе</w:t>
      </w:r>
      <w:proofErr w:type="spellEnd"/>
      <w:r w:rsidRPr="0088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Е.И. Эритроцит как идеальный носитель для доставки лекарств. Вопросы гематологии/онкологии и иммунопатологии в педиатрии. 2020; 19(4): 234-242. </w:t>
      </w:r>
      <w:r w:rsidRPr="0088348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</w:t>
      </w:r>
      <w:r w:rsidRPr="0088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10.24287/1726-1708-2020-19-4-234-242 </w:t>
      </w:r>
      <w:r w:rsidRPr="0088348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Scopus</w:t>
      </w:r>
    </w:p>
    <w:p w14:paraId="1A09F1F1" w14:textId="3D7323C9" w:rsidR="007A108A" w:rsidRPr="00150D14" w:rsidRDefault="007A108A" w:rsidP="007A108A">
      <w:pPr>
        <w:pStyle w:val="a5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Бовт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Е.А.,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Колева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Л.Д.,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Черняк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Е.А.,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Прудинник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Д.С.,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Сметанина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Н.С.,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Атауллаханов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Ф.И.,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Синауридзе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Е.И.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Дефицит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пируваткиназы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и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несфероцитарная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гемолитическая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анемия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Вопросы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гематологии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онкологии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и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иммунопатологии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в </w:t>
      </w:r>
      <w:proofErr w:type="spellStart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педиатрии</w:t>
      </w:r>
      <w:proofErr w:type="spellEnd"/>
      <w:r w:rsidRPr="007A10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2020. 19(3): 121-130. DOI:10.24287/1726-1708-2020-19-3-121-130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108A">
        <w:rPr>
          <w:rFonts w:ascii="Times New Roman" w:hAnsi="Times New Roman" w:cs="Times New Roman"/>
          <w:b/>
          <w:sz w:val="24"/>
          <w:szCs w:val="24"/>
          <w:lang w:val="en-US"/>
        </w:rPr>
        <w:t>Scopus</w:t>
      </w:r>
    </w:p>
    <w:p w14:paraId="25C28425" w14:textId="1B4DE9B2" w:rsidR="00150D14" w:rsidRPr="00150D14" w:rsidRDefault="0042361B" w:rsidP="0042361B">
      <w:pPr>
        <w:pStyle w:val="a6"/>
        <w:numPr>
          <w:ilvl w:val="0"/>
          <w:numId w:val="3"/>
        </w:numPr>
        <w:tabs>
          <w:tab w:val="left" w:pos="567"/>
          <w:tab w:val="left" w:pos="1418"/>
        </w:tabs>
        <w:spacing w:after="0" w:line="360" w:lineRule="auto"/>
        <w:textAlignment w:val="baseline"/>
        <w:rPr>
          <w:lang w:val="en-US"/>
        </w:rPr>
      </w:pPr>
      <w:proofErr w:type="spellStart"/>
      <w:r>
        <w:rPr>
          <w:lang w:val="en-US"/>
        </w:rPr>
        <w:t>Protasov</w:t>
      </w:r>
      <w:proofErr w:type="spellEnd"/>
      <w:r w:rsidRPr="0042361B">
        <w:rPr>
          <w:lang w:val="en-US"/>
        </w:rPr>
        <w:t xml:space="preserve"> E</w:t>
      </w:r>
      <w:r>
        <w:rPr>
          <w:lang w:val="en-US"/>
        </w:rPr>
        <w:t xml:space="preserve">, </w:t>
      </w:r>
      <w:proofErr w:type="spellStart"/>
      <w:r w:rsidRPr="0042361B">
        <w:rPr>
          <w:lang w:val="en-US"/>
        </w:rPr>
        <w:t>Koleva</w:t>
      </w:r>
      <w:proofErr w:type="spellEnd"/>
      <w:r w:rsidRPr="0042361B">
        <w:rPr>
          <w:lang w:val="en-US"/>
        </w:rPr>
        <w:t xml:space="preserve"> L</w:t>
      </w:r>
      <w:r>
        <w:rPr>
          <w:lang w:val="en-US"/>
        </w:rPr>
        <w:t xml:space="preserve">, </w:t>
      </w:r>
      <w:proofErr w:type="spellStart"/>
      <w:r w:rsidRPr="0042361B">
        <w:rPr>
          <w:lang w:val="en-US"/>
        </w:rPr>
        <w:t>Bovt</w:t>
      </w:r>
      <w:proofErr w:type="spellEnd"/>
      <w:r w:rsidRPr="0042361B">
        <w:rPr>
          <w:lang w:val="en-US"/>
        </w:rPr>
        <w:t xml:space="preserve"> E</w:t>
      </w:r>
      <w:r>
        <w:rPr>
          <w:lang w:val="en-US"/>
        </w:rPr>
        <w:t>, ,</w:t>
      </w:r>
      <w:proofErr w:type="spellStart"/>
      <w:r w:rsidRPr="0042361B">
        <w:rPr>
          <w:lang w:val="en-US"/>
        </w:rPr>
        <w:t>Ataullakhanov</w:t>
      </w:r>
      <w:proofErr w:type="spellEnd"/>
      <w:r w:rsidRPr="0042361B">
        <w:rPr>
          <w:lang w:val="en-US"/>
        </w:rPr>
        <w:t xml:space="preserve"> FI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Sinauridze</w:t>
      </w:r>
      <w:proofErr w:type="spellEnd"/>
      <w:r w:rsidRPr="0042361B">
        <w:rPr>
          <w:lang w:val="en-US"/>
        </w:rPr>
        <w:t xml:space="preserve"> E</w:t>
      </w:r>
      <w:r>
        <w:rPr>
          <w:lang w:val="en-US"/>
        </w:rPr>
        <w:t xml:space="preserve">. </w:t>
      </w:r>
      <w:r w:rsidRPr="0042361B">
        <w:rPr>
          <w:lang w:val="en-US"/>
        </w:rPr>
        <w:t>Theoretical Analysis of the Built-in Metabolic Pathway Effect on the Metabolism of Erythrocyte-Bioreactors That Neutralize Ammonium</w:t>
      </w:r>
      <w:r w:rsidRPr="0042361B">
        <w:rPr>
          <w:lang w:val="en-US"/>
        </w:rPr>
        <w:tab/>
      </w:r>
      <w:r>
        <w:rPr>
          <w:lang w:val="en-US"/>
        </w:rPr>
        <w:t xml:space="preserve">. </w:t>
      </w:r>
      <w:r w:rsidRPr="0042361B">
        <w:rPr>
          <w:lang w:val="en-US"/>
        </w:rPr>
        <w:t>Metabolites</w:t>
      </w:r>
      <w:r>
        <w:rPr>
          <w:lang w:val="en-US"/>
        </w:rPr>
        <w:t xml:space="preserve">. 2021. </w:t>
      </w:r>
      <w:r w:rsidRPr="0042361B">
        <w:rPr>
          <w:lang w:val="en-US"/>
        </w:rPr>
        <w:t>11</w:t>
      </w:r>
      <w:r>
        <w:rPr>
          <w:lang w:val="en-US"/>
        </w:rPr>
        <w:t xml:space="preserve">(1):36. DOI: </w:t>
      </w:r>
      <w:r w:rsidRPr="0042361B">
        <w:rPr>
          <w:lang w:val="en-US"/>
        </w:rPr>
        <w:t>10.3390/metabo11010036</w:t>
      </w:r>
      <w:r>
        <w:rPr>
          <w:lang w:val="en-US"/>
        </w:rPr>
        <w:t xml:space="preserve"> </w:t>
      </w:r>
      <w:r w:rsidRPr="00150D14">
        <w:rPr>
          <w:b/>
          <w:lang w:val="en-US"/>
        </w:rPr>
        <w:t>WOS/Scopus</w:t>
      </w:r>
    </w:p>
    <w:sectPr w:rsidR="00150D14" w:rsidRPr="00150D14" w:rsidSect="00107FE0">
      <w:footerReference w:type="default" r:id="rId5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0BC3D" w14:textId="77777777" w:rsidR="001A5224" w:rsidRDefault="001A5224" w:rsidP="009E2BAD">
      <w:pPr>
        <w:spacing w:after="0" w:line="240" w:lineRule="auto"/>
      </w:pPr>
      <w:r>
        <w:separator/>
      </w:r>
    </w:p>
    <w:p w14:paraId="0AA23207" w14:textId="77777777" w:rsidR="001A5224" w:rsidRDefault="001A5224"/>
  </w:endnote>
  <w:endnote w:type="continuationSeparator" w:id="0">
    <w:p w14:paraId="5DDE49DC" w14:textId="77777777" w:rsidR="001A5224" w:rsidRDefault="001A5224" w:rsidP="009E2BAD">
      <w:pPr>
        <w:spacing w:after="0" w:line="240" w:lineRule="auto"/>
      </w:pPr>
      <w:r>
        <w:continuationSeparator/>
      </w:r>
    </w:p>
    <w:p w14:paraId="33C46CB7" w14:textId="77777777" w:rsidR="001A5224" w:rsidRDefault="001A52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-Regular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183194"/>
      <w:docPartObj>
        <w:docPartGallery w:val="Page Numbers (Bottom of Page)"/>
        <w:docPartUnique/>
      </w:docPartObj>
    </w:sdtPr>
    <w:sdtEndPr/>
    <w:sdtContent>
      <w:p w14:paraId="279AD1CA" w14:textId="78322C71" w:rsidR="00951610" w:rsidRDefault="0095161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48E">
          <w:rPr>
            <w:noProof/>
          </w:rPr>
          <w:t>70</w:t>
        </w:r>
        <w:r>
          <w:fldChar w:fldCharType="end"/>
        </w:r>
      </w:p>
    </w:sdtContent>
  </w:sdt>
  <w:p w14:paraId="279AD1CB" w14:textId="77777777" w:rsidR="00951610" w:rsidRDefault="00951610">
    <w:pPr>
      <w:pStyle w:val="a9"/>
    </w:pPr>
  </w:p>
  <w:p w14:paraId="51F7E3F2" w14:textId="77777777" w:rsidR="00951610" w:rsidRDefault="009516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6825B" w14:textId="77777777" w:rsidR="001A5224" w:rsidRDefault="001A5224" w:rsidP="009E2BAD">
      <w:pPr>
        <w:spacing w:after="0" w:line="240" w:lineRule="auto"/>
      </w:pPr>
      <w:r>
        <w:separator/>
      </w:r>
    </w:p>
    <w:p w14:paraId="4E53C4FC" w14:textId="77777777" w:rsidR="001A5224" w:rsidRDefault="001A5224"/>
  </w:footnote>
  <w:footnote w:type="continuationSeparator" w:id="0">
    <w:p w14:paraId="12E6B8E8" w14:textId="77777777" w:rsidR="001A5224" w:rsidRDefault="001A5224" w:rsidP="009E2BAD">
      <w:pPr>
        <w:spacing w:after="0" w:line="240" w:lineRule="auto"/>
      </w:pPr>
      <w:r>
        <w:continuationSeparator/>
      </w:r>
    </w:p>
    <w:p w14:paraId="3850644A" w14:textId="77777777" w:rsidR="001A5224" w:rsidRDefault="001A522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73816"/>
    <w:multiLevelType w:val="hybridMultilevel"/>
    <w:tmpl w:val="C4E4E5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A953167"/>
    <w:multiLevelType w:val="hybridMultilevel"/>
    <w:tmpl w:val="11786E5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82789D"/>
    <w:multiLevelType w:val="hybridMultilevel"/>
    <w:tmpl w:val="884EB0E4"/>
    <w:lvl w:ilvl="0" w:tplc="E83E3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0EB"/>
    <w:rsid w:val="0006638C"/>
    <w:rsid w:val="000E5FD2"/>
    <w:rsid w:val="00107FE0"/>
    <w:rsid w:val="0013608C"/>
    <w:rsid w:val="00150D14"/>
    <w:rsid w:val="00183B69"/>
    <w:rsid w:val="001857DC"/>
    <w:rsid w:val="001A067F"/>
    <w:rsid w:val="001A3088"/>
    <w:rsid w:val="001A5224"/>
    <w:rsid w:val="001E7D9C"/>
    <w:rsid w:val="001F39A2"/>
    <w:rsid w:val="002148AB"/>
    <w:rsid w:val="0027160A"/>
    <w:rsid w:val="0028636F"/>
    <w:rsid w:val="00297A43"/>
    <w:rsid w:val="002A2B81"/>
    <w:rsid w:val="002A7547"/>
    <w:rsid w:val="003330EB"/>
    <w:rsid w:val="00357058"/>
    <w:rsid w:val="003B0CAC"/>
    <w:rsid w:val="003B7B51"/>
    <w:rsid w:val="003E19C3"/>
    <w:rsid w:val="003E2AE0"/>
    <w:rsid w:val="003F2EA6"/>
    <w:rsid w:val="0042361B"/>
    <w:rsid w:val="004442DB"/>
    <w:rsid w:val="0047171B"/>
    <w:rsid w:val="00497A1C"/>
    <w:rsid w:val="00544119"/>
    <w:rsid w:val="00553A28"/>
    <w:rsid w:val="00584DEA"/>
    <w:rsid w:val="005E4F03"/>
    <w:rsid w:val="005E5599"/>
    <w:rsid w:val="005F1D9D"/>
    <w:rsid w:val="00615481"/>
    <w:rsid w:val="00647579"/>
    <w:rsid w:val="006758B0"/>
    <w:rsid w:val="006931B8"/>
    <w:rsid w:val="006D2497"/>
    <w:rsid w:val="00716D17"/>
    <w:rsid w:val="007335FD"/>
    <w:rsid w:val="00760845"/>
    <w:rsid w:val="007702B3"/>
    <w:rsid w:val="00780A11"/>
    <w:rsid w:val="007A108A"/>
    <w:rsid w:val="007A5C6C"/>
    <w:rsid w:val="007B1A2C"/>
    <w:rsid w:val="007B367E"/>
    <w:rsid w:val="007F6FF9"/>
    <w:rsid w:val="00803D39"/>
    <w:rsid w:val="0088348E"/>
    <w:rsid w:val="008A03A5"/>
    <w:rsid w:val="00925BB9"/>
    <w:rsid w:val="00951610"/>
    <w:rsid w:val="009E2BAD"/>
    <w:rsid w:val="009E4B3D"/>
    <w:rsid w:val="009E4CD4"/>
    <w:rsid w:val="009F7EC6"/>
    <w:rsid w:val="00A52F4F"/>
    <w:rsid w:val="00A737BC"/>
    <w:rsid w:val="00A81273"/>
    <w:rsid w:val="00A90187"/>
    <w:rsid w:val="00AA3C0E"/>
    <w:rsid w:val="00B516B8"/>
    <w:rsid w:val="00B5170F"/>
    <w:rsid w:val="00B924B5"/>
    <w:rsid w:val="00BA1A5C"/>
    <w:rsid w:val="00BC58A7"/>
    <w:rsid w:val="00C237A1"/>
    <w:rsid w:val="00C7651E"/>
    <w:rsid w:val="00C82940"/>
    <w:rsid w:val="00CA1DC7"/>
    <w:rsid w:val="00CD149B"/>
    <w:rsid w:val="00CD513F"/>
    <w:rsid w:val="00D83E42"/>
    <w:rsid w:val="00DC0610"/>
    <w:rsid w:val="00E443A4"/>
    <w:rsid w:val="00E62577"/>
    <w:rsid w:val="00EA0960"/>
    <w:rsid w:val="00EB6310"/>
    <w:rsid w:val="00ED5EC0"/>
    <w:rsid w:val="00EE2E7F"/>
    <w:rsid w:val="00F03355"/>
    <w:rsid w:val="00F6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279ACE20"/>
  <w15:docId w15:val="{E59278C1-855F-4CFF-B8A8-7A2C8539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48AB"/>
    <w:pPr>
      <w:tabs>
        <w:tab w:val="left" w:pos="9072"/>
      </w:tabs>
      <w:spacing w:after="0" w:line="36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335FD"/>
    <w:pPr>
      <w:keepNext/>
      <w:keepLines/>
      <w:spacing w:after="0" w:line="360" w:lineRule="auto"/>
      <w:ind w:left="1069" w:hanging="360"/>
      <w:contextualSpacing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2148AB"/>
    <w:pPr>
      <w:tabs>
        <w:tab w:val="left" w:pos="1134"/>
      </w:tabs>
      <w:spacing w:after="0" w:line="360" w:lineRule="auto"/>
      <w:ind w:firstLine="709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148AB"/>
    <w:pPr>
      <w:tabs>
        <w:tab w:val="left" w:pos="1418"/>
      </w:tabs>
      <w:spacing w:after="0" w:line="360" w:lineRule="auto"/>
      <w:ind w:firstLine="709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35FD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21">
    <w:name w:val="Знак Знак2 Знак Знак Знак"/>
    <w:basedOn w:val="a"/>
    <w:rsid w:val="00CD149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3">
    <w:name w:val="Hyperlink"/>
    <w:basedOn w:val="a0"/>
    <w:uiPriority w:val="99"/>
    <w:unhideWhenUsed/>
    <w:rsid w:val="00CD149B"/>
    <w:rPr>
      <w:color w:val="0563C1" w:themeColor="hyperlink"/>
      <w:u w:val="single"/>
    </w:rPr>
  </w:style>
  <w:style w:type="paragraph" w:customStyle="1" w:styleId="210">
    <w:name w:val="Знак Знак2 Знак Знак Знак Знак Знак Знак Знак Знак Знак1 Знак Знак"/>
    <w:basedOn w:val="a"/>
    <w:rsid w:val="00CD149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caption"/>
    <w:basedOn w:val="a"/>
    <w:next w:val="a"/>
    <w:uiPriority w:val="35"/>
    <w:unhideWhenUsed/>
    <w:qFormat/>
    <w:rsid w:val="00CD14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780A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85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E2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2BAD"/>
  </w:style>
  <w:style w:type="paragraph" w:styleId="a9">
    <w:name w:val="footer"/>
    <w:basedOn w:val="a"/>
    <w:link w:val="aa"/>
    <w:uiPriority w:val="99"/>
    <w:unhideWhenUsed/>
    <w:rsid w:val="009E2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2BAD"/>
  </w:style>
  <w:style w:type="paragraph" w:styleId="ab">
    <w:name w:val="Balloon Text"/>
    <w:basedOn w:val="a"/>
    <w:link w:val="ac"/>
    <w:uiPriority w:val="99"/>
    <w:semiHidden/>
    <w:unhideWhenUsed/>
    <w:rsid w:val="0095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161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148AB"/>
    <w:rPr>
      <w:rFonts w:ascii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148AB"/>
    <w:rPr>
      <w:rFonts w:ascii="Times New Roman" w:hAnsi="Times New Roman" w:cs="Times New Roman"/>
      <w:b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2148AB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2148AB"/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F1D9D"/>
    <w:pPr>
      <w:tabs>
        <w:tab w:val="left" w:pos="1560"/>
        <w:tab w:val="right" w:leader="dot" w:pos="9345"/>
      </w:tabs>
      <w:spacing w:after="100"/>
      <w:ind w:left="272" w:hanging="51"/>
    </w:pPr>
  </w:style>
  <w:style w:type="paragraph" w:styleId="22">
    <w:name w:val="toc 2"/>
    <w:basedOn w:val="a"/>
    <w:next w:val="a"/>
    <w:autoRedefine/>
    <w:uiPriority w:val="39"/>
    <w:unhideWhenUsed/>
    <w:rsid w:val="002148A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335F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9" Type="http://schemas.openxmlformats.org/officeDocument/2006/relationships/image" Target="media/image22.emf"/><Relationship Id="rId21" Type="http://schemas.openxmlformats.org/officeDocument/2006/relationships/image" Target="media/image12.emf"/><Relationship Id="rId34" Type="http://schemas.openxmlformats.org/officeDocument/2006/relationships/oleObject" Target="embeddings/oleObject8.bin"/><Relationship Id="rId42" Type="http://schemas.openxmlformats.org/officeDocument/2006/relationships/image" Target="media/image24.png"/><Relationship Id="rId47" Type="http://schemas.openxmlformats.org/officeDocument/2006/relationships/image" Target="media/image27.emf"/><Relationship Id="rId50" Type="http://schemas.openxmlformats.org/officeDocument/2006/relationships/oleObject" Target="embeddings/oleObject15.bin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emf"/><Relationship Id="rId11" Type="http://schemas.openxmlformats.org/officeDocument/2006/relationships/image" Target="media/image4.emf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7.bin"/><Relationship Id="rId37" Type="http://schemas.openxmlformats.org/officeDocument/2006/relationships/image" Target="media/image21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6.emf"/><Relationship Id="rId53" Type="http://schemas.openxmlformats.org/officeDocument/2006/relationships/hyperlink" Target="http://www.ncbi.nlm.nih.gov/sites/entrez?Db=pubmed&amp;Cmd=Search&amp;Term=%22Schoolwerth%20AC%22%5BAuthor%5D&amp;itool=EntrezSystem2.PEntrez.Pubmed.Pubmed_ResultsPanel.Pubmed_DiscoveryPanel.Pubmed_RVAbstractPlus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oleObject" Target="embeddings/oleObject3.bin"/><Relationship Id="rId27" Type="http://schemas.openxmlformats.org/officeDocument/2006/relationships/image" Target="media/image16.emf"/><Relationship Id="rId30" Type="http://schemas.openxmlformats.org/officeDocument/2006/relationships/oleObject" Target="embeddings/oleObject6.bin"/><Relationship Id="rId35" Type="http://schemas.openxmlformats.org/officeDocument/2006/relationships/image" Target="media/image20.emf"/><Relationship Id="rId43" Type="http://schemas.openxmlformats.org/officeDocument/2006/relationships/image" Target="media/image25.emf"/><Relationship Id="rId48" Type="http://schemas.openxmlformats.org/officeDocument/2006/relationships/oleObject" Target="embeddings/oleObject14.bin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4.png"/><Relationship Id="rId33" Type="http://schemas.openxmlformats.org/officeDocument/2006/relationships/image" Target="media/image19.e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3.bin"/><Relationship Id="rId20" Type="http://schemas.openxmlformats.org/officeDocument/2006/relationships/oleObject" Target="embeddings/oleObject2.bin"/><Relationship Id="rId41" Type="http://schemas.openxmlformats.org/officeDocument/2006/relationships/image" Target="media/image23.png"/><Relationship Id="rId54" Type="http://schemas.openxmlformats.org/officeDocument/2006/relationships/hyperlink" Target="javascript:AL_get(this,%20'jour',%20'Anal%20Biochem.')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8.emf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image" Target="media/image18.emf"/><Relationship Id="rId44" Type="http://schemas.openxmlformats.org/officeDocument/2006/relationships/oleObject" Target="embeddings/oleObject12.bin"/><Relationship Id="rId52" Type="http://schemas.openxmlformats.org/officeDocument/2006/relationships/hyperlink" Target="http://www.ncbi.nlm.nih.gov/sites/entrez?Db=pubmed&amp;Cmd=Search&amp;Term=%22Nazar%20BL%22%5BAuthor%5D&amp;itool=EntrezSystem2.PEntrez.Pubmed.Pubmed_ResultsPanel.Pubmed_DiscoveryPanel.Pubmed_RVAbstractPl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E50C8C9-E570-45AB-B339-44D9F45F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16252</Words>
  <Characters>92640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Ксения Мельник</cp:lastModifiedBy>
  <cp:revision>2</cp:revision>
  <cp:lastPrinted>2022-02-03T11:43:00Z</cp:lastPrinted>
  <dcterms:created xsi:type="dcterms:W3CDTF">2023-06-06T12:30:00Z</dcterms:created>
  <dcterms:modified xsi:type="dcterms:W3CDTF">2023-06-06T12:30:00Z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http://csl.mendeley.com/styles/19246551/bmj</vt:lpwstr>
  </property>
  <property fmtid="{D5CDD505-2E9C-101B-9397-08002B2CF9AE}" pid="5" name="Mendeley Recent Style Name 1_1">
    <vt:lpwstr>BMJ - Ekaterina Koltsova</vt:lpwstr>
  </property>
  <property fmtid="{D5CDD505-2E9C-101B-9397-08002B2CF9AE}" pid="6" name="Mendeley Recent Style Id 2_1">
    <vt:lpwstr>http://www.zotero.org/styles/biomed-central</vt:lpwstr>
  </property>
  <property fmtid="{D5CDD505-2E9C-101B-9397-08002B2CF9AE}" pid="7" name="Mendeley Recent Style Name 2_1">
    <vt:lpwstr>BioMed Central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http://www.zotero.org/styles/journal-of-thrombosis-and-haemostasis</vt:lpwstr>
  </property>
  <property fmtid="{D5CDD505-2E9C-101B-9397-08002B2CF9AE}" pid="13" name="Mendeley Recent Style Name 5_1">
    <vt:lpwstr>Journal of Thrombosis and Haemostasis</vt:lpwstr>
  </property>
  <property fmtid="{D5CDD505-2E9C-101B-9397-08002B2CF9AE}" pid="14" name="Mendeley Recent Style Id 6_1">
    <vt:lpwstr>https://csl.mendeley.com/styles/19246551/plos</vt:lpwstr>
  </property>
  <property fmtid="{D5CDD505-2E9C-101B-9397-08002B2CF9AE}" pid="15" name="Mendeley Recent Style Name 6_1">
    <vt:lpwstr>Public Library of Science - Ekaterina Koltsova</vt:lpwstr>
  </property>
  <property fmtid="{D5CDD505-2E9C-101B-9397-08002B2CF9AE}" pid="16" name="Mendeley Recent Style Id 7_1">
    <vt:lpwstr>http://www.zotero.org/styles/gost-r-7-0-5-2008-numeric</vt:lpwstr>
  </property>
  <property fmtid="{D5CDD505-2E9C-101B-9397-08002B2CF9AE}" pid="17" name="Mendeley Recent Style Name 7_1">
    <vt:lpwstr>Russian GOST R 7.0.5-2008 (numeric)</vt:lpwstr>
  </property>
  <property fmtid="{D5CDD505-2E9C-101B-9397-08002B2CF9AE}" pid="18" name="Mendeley Recent Style Id 8_1">
    <vt:lpwstr>http://www.zotero.org/styles/vancouver</vt:lpwstr>
  </property>
  <property fmtid="{D5CDD505-2E9C-101B-9397-08002B2CF9AE}" pid="19" name="Mendeley Recent Style Name 8_1">
    <vt:lpwstr>Vancouver</vt:lpwstr>
  </property>
  <property fmtid="{D5CDD505-2E9C-101B-9397-08002B2CF9AE}" pid="20" name="Mendeley Recent Style Id 9_1">
    <vt:lpwstr>http://csl.mendeley.com/styles/19246551/vancouver</vt:lpwstr>
  </property>
  <property fmtid="{D5CDD505-2E9C-101B-9397-08002B2CF9AE}" pid="21" name="Mendeley Recent Style Name 9_1">
    <vt:lpwstr>Vancouver - Ekaterina Koltsova</vt:lpwstr>
  </property>
</Properties>
</file>